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84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附件3.</w:t>
      </w:r>
    </w:p>
    <w:p w14:paraId="597D7215">
      <w:pPr>
        <w:jc w:val="center"/>
        <w:rPr>
          <w:rFonts w:hint="default"/>
          <w:sz w:val="20"/>
          <w:szCs w:val="21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44"/>
          <w:lang w:val="en-US" w:eastAsia="zh-CN"/>
          <w14:ligatures w14:val="none"/>
        </w:rPr>
        <w:t>化妆品</w:t>
      </w:r>
      <w:r>
        <w:rPr>
          <w:rFonts w:hint="default" w:ascii="华文中宋" w:hAnsi="华文中宋" w:eastAsia="华文中宋"/>
          <w:b/>
          <w:bCs/>
          <w:sz w:val="36"/>
          <w:szCs w:val="44"/>
          <w:lang w:val="en-US" w:eastAsia="zh-CN"/>
          <w14:ligatures w14:val="none"/>
        </w:rPr>
        <w:t>行业绿色工厂评价指标（草案）</w:t>
      </w:r>
    </w:p>
    <w:p w14:paraId="569E0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一、填报说明：</w:t>
      </w:r>
    </w:p>
    <w:p w14:paraId="44371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1.请各企业结合</w:t>
      </w:r>
      <w:r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  <w:t>实际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，对二级指标、三级指标、单位的设置提出意见与建议；</w:t>
      </w:r>
    </w:p>
    <w:p w14:paraId="31011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2.请各企业结合</w:t>
      </w:r>
      <w:r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  <w:t>实际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，</w:t>
      </w:r>
      <w:r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  <w:t>认真填写对应行业指标数据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，填写数据时请一并注明数据单位；并请对指标引领值、基准值提出意见与建议；</w:t>
      </w:r>
    </w:p>
    <w:p w14:paraId="6C334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3.填写后的内容请于</w:t>
      </w:r>
      <w:r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  <w:t>2025年4月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7</w:t>
      </w:r>
      <w:bookmarkStart w:id="0" w:name="_GoBack"/>
      <w:bookmarkEnd w:id="0"/>
      <w:r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  <w:t>日前反馈中国香妆协会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联系人，梁彦会，18401561573（同微信），liangyanhui@caffci.org。</w:t>
      </w:r>
    </w:p>
    <w:p w14:paraId="27EC8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二、填报信息：</w:t>
      </w:r>
    </w:p>
    <w:p w14:paraId="273B2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1.企业名称：</w:t>
      </w:r>
    </w:p>
    <w:p w14:paraId="4A3C0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2.所属行业：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sym w:font="Wingdings 2" w:char="00A3"/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 xml:space="preserve">香料行业  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sym w:font="Wingdings 2" w:char="00A3"/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 xml:space="preserve">香精行业   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sym w:font="Wingdings 2" w:char="00A3"/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 xml:space="preserve">化妆品行业 </w:t>
      </w:r>
    </w:p>
    <w:p w14:paraId="52C0F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3.是否获评绿色工厂：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sym w:font="Wingdings 2" w:char="00A3"/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 xml:space="preserve">国家级绿色工厂    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sym w:font="Wingdings 2" w:char="00A3"/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 xml:space="preserve">省级绿色工厂   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sym w:font="Wingdings 2" w:char="00A3"/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 xml:space="preserve">否  </w:t>
      </w:r>
    </w:p>
    <w:p w14:paraId="3FA22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4.联系人信息：姓名：        职务：      手机号：</w:t>
      </w:r>
    </w:p>
    <w:p w14:paraId="65EB84B3">
      <w:pPr>
        <w:rPr>
          <w:rFonts w:hint="eastAsia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549"/>
        <w:gridCol w:w="2196"/>
        <w:gridCol w:w="2941"/>
        <w:gridCol w:w="1042"/>
        <w:gridCol w:w="1107"/>
        <w:gridCol w:w="2677"/>
        <w:gridCol w:w="2117"/>
      </w:tblGrid>
      <w:tr w14:paraId="1DDF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gridSpan w:val="8"/>
          </w:tcPr>
          <w:p w14:paraId="6D121622">
            <w:pPr>
              <w:spacing w:after="0" w:line="240" w:lineRule="auto"/>
              <w:jc w:val="center"/>
              <w:rPr>
                <w:rFonts w:hint="default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化妆品行业绿色工厂建设规范</w:t>
            </w:r>
            <w:r>
              <w:rPr>
                <w:rFonts w:hint="default" w:ascii="宋体" w:hAnsi="宋体" w:eastAsia="宋体"/>
                <w:b/>
                <w:bCs/>
              </w:rPr>
              <w:t>（草案）</w:t>
            </w:r>
          </w:p>
        </w:tc>
      </w:tr>
      <w:tr w14:paraId="7E0B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</w:tcPr>
          <w:p w14:paraId="24ABD9CF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一级指标（权重）</w:t>
            </w:r>
          </w:p>
        </w:tc>
        <w:tc>
          <w:tcPr>
            <w:tcW w:w="0" w:type="auto"/>
          </w:tcPr>
          <w:p w14:paraId="4EDF5F4A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0" w:type="auto"/>
          </w:tcPr>
          <w:p w14:paraId="7E2CFB91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二级指标</w:t>
            </w:r>
          </w:p>
        </w:tc>
        <w:tc>
          <w:tcPr>
            <w:tcW w:w="0" w:type="auto"/>
          </w:tcPr>
          <w:p w14:paraId="019DB3B6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三级指标</w:t>
            </w:r>
          </w:p>
        </w:tc>
        <w:tc>
          <w:tcPr>
            <w:tcW w:w="0" w:type="auto"/>
          </w:tcPr>
          <w:p w14:paraId="4506F75D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单位</w:t>
            </w:r>
          </w:p>
        </w:tc>
        <w:tc>
          <w:tcPr>
            <w:tcW w:w="0" w:type="auto"/>
          </w:tcPr>
          <w:p w14:paraId="76F10A79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企业实际</w:t>
            </w:r>
            <w:r>
              <w:rPr>
                <w:rFonts w:hint="eastAsia" w:ascii="宋体" w:hAnsi="宋体" w:eastAsia="宋体"/>
                <w:b/>
                <w:bCs/>
              </w:rPr>
              <w:t>数据</w:t>
            </w:r>
          </w:p>
          <w:p w14:paraId="509C2AB0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含单位</w:t>
            </w:r>
            <w:r>
              <w:rPr>
                <w:rFonts w:hint="eastAsia" w:ascii="宋体" w:hAnsi="宋体" w:eastAsia="宋体"/>
                <w:b/>
                <w:bCs/>
                <w:lang w:eastAsia="zh-CN"/>
              </w:rPr>
              <w:t>）</w:t>
            </w:r>
          </w:p>
        </w:tc>
        <w:tc>
          <w:tcPr>
            <w:tcW w:w="0" w:type="auto"/>
          </w:tcPr>
          <w:p w14:paraId="7D006B61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企业对指标设置（二级、三级、单位）的建议</w:t>
            </w:r>
          </w:p>
        </w:tc>
        <w:tc>
          <w:tcPr>
            <w:tcW w:w="0" w:type="auto"/>
          </w:tcPr>
          <w:p w14:paraId="1B10F881">
            <w:pPr>
              <w:spacing w:after="0" w:line="240" w:lineRule="auto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企业对指标引领值、基准值的建议</w:t>
            </w:r>
          </w:p>
        </w:tc>
      </w:tr>
      <w:tr w14:paraId="27B6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0" w:type="auto"/>
            <w:vMerge w:val="restart"/>
          </w:tcPr>
          <w:p w14:paraId="0E486FD0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能源低碳化（30%）</w:t>
            </w:r>
          </w:p>
        </w:tc>
        <w:tc>
          <w:tcPr>
            <w:tcW w:w="0" w:type="auto"/>
          </w:tcPr>
          <w:p w14:paraId="25800EB0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0" w:type="auto"/>
          </w:tcPr>
          <w:p w14:paraId="6D39F94C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能源消耗强度</w:t>
            </w:r>
          </w:p>
        </w:tc>
        <w:tc>
          <w:tcPr>
            <w:tcW w:w="0" w:type="auto"/>
          </w:tcPr>
          <w:p w14:paraId="183FD966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单位产品综合能耗</w:t>
            </w:r>
          </w:p>
        </w:tc>
        <w:tc>
          <w:tcPr>
            <w:tcW w:w="0" w:type="auto"/>
          </w:tcPr>
          <w:p w14:paraId="52D7FFF8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kgce/t</w:t>
            </w:r>
          </w:p>
        </w:tc>
        <w:tc>
          <w:tcPr>
            <w:tcW w:w="0" w:type="auto"/>
          </w:tcPr>
          <w:p w14:paraId="19224493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660F4440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133B064E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6EC9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0" w:type="auto"/>
            <w:vMerge w:val="continue"/>
          </w:tcPr>
          <w:p w14:paraId="4A4AC134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454EF7B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0" w:type="auto"/>
          </w:tcPr>
          <w:p w14:paraId="2F38FDD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碳排放强度</w:t>
            </w:r>
          </w:p>
        </w:tc>
        <w:tc>
          <w:tcPr>
            <w:tcW w:w="0" w:type="auto"/>
          </w:tcPr>
          <w:p w14:paraId="1653BDB5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单位产品碳排放量</w:t>
            </w:r>
          </w:p>
        </w:tc>
        <w:tc>
          <w:tcPr>
            <w:tcW w:w="0" w:type="auto"/>
          </w:tcPr>
          <w:p w14:paraId="096A6A6C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tCO2e/t</w:t>
            </w:r>
          </w:p>
        </w:tc>
        <w:tc>
          <w:tcPr>
            <w:tcW w:w="0" w:type="auto"/>
          </w:tcPr>
          <w:p w14:paraId="223DACCF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7AEA2FD8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3AB84F33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61B7C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Merge w:val="continue"/>
          </w:tcPr>
          <w:p w14:paraId="2B3F022B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47D7F875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0" w:type="auto"/>
          </w:tcPr>
          <w:p w14:paraId="1E553D07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可再生能源利用率</w:t>
            </w:r>
          </w:p>
        </w:tc>
        <w:tc>
          <w:tcPr>
            <w:tcW w:w="0" w:type="auto"/>
          </w:tcPr>
          <w:p w14:paraId="1F90785F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绿电等新能源消费比例</w:t>
            </w:r>
          </w:p>
        </w:tc>
        <w:tc>
          <w:tcPr>
            <w:tcW w:w="0" w:type="auto"/>
          </w:tcPr>
          <w:p w14:paraId="603FEA0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%</w:t>
            </w:r>
          </w:p>
        </w:tc>
        <w:tc>
          <w:tcPr>
            <w:tcW w:w="0" w:type="auto"/>
          </w:tcPr>
          <w:p w14:paraId="1144175A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46DEBC5F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7E2ACFC5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4519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</w:tcPr>
          <w:p w14:paraId="59CC475B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3C2F394D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0" w:type="auto"/>
          </w:tcPr>
          <w:p w14:paraId="21A84493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能碳管理系统平台</w:t>
            </w:r>
          </w:p>
        </w:tc>
        <w:tc>
          <w:tcPr>
            <w:tcW w:w="0" w:type="auto"/>
          </w:tcPr>
          <w:p w14:paraId="78D8F1A0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工厂能碳管理系统平台的功能符合度</w:t>
            </w:r>
          </w:p>
        </w:tc>
        <w:tc>
          <w:tcPr>
            <w:tcW w:w="0" w:type="auto"/>
          </w:tcPr>
          <w:p w14:paraId="63443321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/</w:t>
            </w:r>
          </w:p>
        </w:tc>
        <w:tc>
          <w:tcPr>
            <w:tcW w:w="0" w:type="auto"/>
          </w:tcPr>
          <w:p w14:paraId="09B66D25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09ED2374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4E3B6754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24342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</w:tcPr>
          <w:p w14:paraId="02607C42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资源高效化（30%）</w:t>
            </w:r>
          </w:p>
        </w:tc>
        <w:tc>
          <w:tcPr>
            <w:tcW w:w="0" w:type="auto"/>
          </w:tcPr>
          <w:p w14:paraId="18A5EDD5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0" w:type="auto"/>
          </w:tcPr>
          <w:p w14:paraId="29FBC6A7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原材料消耗强度</w:t>
            </w:r>
          </w:p>
        </w:tc>
        <w:tc>
          <w:tcPr>
            <w:tcW w:w="0" w:type="auto"/>
          </w:tcPr>
          <w:p w14:paraId="7E300CF2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单位产品主要原材料消耗量</w:t>
            </w:r>
          </w:p>
        </w:tc>
        <w:tc>
          <w:tcPr>
            <w:tcW w:w="0" w:type="auto"/>
          </w:tcPr>
          <w:p w14:paraId="6E72872D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/</w:t>
            </w:r>
          </w:p>
        </w:tc>
        <w:tc>
          <w:tcPr>
            <w:tcW w:w="0" w:type="auto"/>
          </w:tcPr>
          <w:p w14:paraId="3A96128C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614A951C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70623592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02ED2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</w:tcPr>
          <w:p w14:paraId="57B51820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restart"/>
          </w:tcPr>
          <w:p w14:paraId="2B6D188B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0" w:type="auto"/>
            <w:vMerge w:val="restart"/>
          </w:tcPr>
          <w:p w14:paraId="4BEB6DF5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取水强度</w:t>
            </w:r>
          </w:p>
        </w:tc>
        <w:tc>
          <w:tcPr>
            <w:tcW w:w="0" w:type="auto"/>
          </w:tcPr>
          <w:p w14:paraId="4003CF8D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单位产品取水量</w:t>
            </w:r>
          </w:p>
        </w:tc>
        <w:tc>
          <w:tcPr>
            <w:tcW w:w="0" w:type="auto"/>
          </w:tcPr>
          <w:p w14:paraId="281A6655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t/t</w:t>
            </w:r>
          </w:p>
        </w:tc>
        <w:tc>
          <w:tcPr>
            <w:tcW w:w="0" w:type="auto"/>
          </w:tcPr>
          <w:p w14:paraId="31DB2B88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2E0B950F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626361A3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7E9E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</w:tcPr>
          <w:p w14:paraId="66511A34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460BCB7B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781DD39C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4385973A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单位产品耗水量（新水消耗量）</w:t>
            </w:r>
          </w:p>
        </w:tc>
        <w:tc>
          <w:tcPr>
            <w:tcW w:w="0" w:type="auto"/>
          </w:tcPr>
          <w:p w14:paraId="68B0E110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39ECEE20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2ECCE74E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4249BBDA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48BE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0" w:type="auto"/>
            <w:vMerge w:val="continue"/>
          </w:tcPr>
          <w:p w14:paraId="40061D02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2865C398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</w:p>
        </w:tc>
        <w:tc>
          <w:tcPr>
            <w:tcW w:w="0" w:type="auto"/>
            <w:gridSpan w:val="2"/>
          </w:tcPr>
          <w:p w14:paraId="3FF06B5B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废水处理回用率</w:t>
            </w:r>
          </w:p>
        </w:tc>
        <w:tc>
          <w:tcPr>
            <w:tcW w:w="0" w:type="auto"/>
          </w:tcPr>
          <w:p w14:paraId="6053B7A6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%</w:t>
            </w:r>
          </w:p>
        </w:tc>
        <w:tc>
          <w:tcPr>
            <w:tcW w:w="0" w:type="auto"/>
          </w:tcPr>
          <w:p w14:paraId="359B4173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4ED64E14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19BD7F2C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0598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</w:tcPr>
          <w:p w14:paraId="5B85F00E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restart"/>
          </w:tcPr>
          <w:p w14:paraId="6664EABF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</w:p>
        </w:tc>
        <w:tc>
          <w:tcPr>
            <w:tcW w:w="0" w:type="auto"/>
            <w:vMerge w:val="restart"/>
          </w:tcPr>
          <w:p w14:paraId="548DFCB5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固体废物综合利用率</w:t>
            </w:r>
          </w:p>
        </w:tc>
        <w:tc>
          <w:tcPr>
            <w:tcW w:w="0" w:type="auto"/>
          </w:tcPr>
          <w:p w14:paraId="3D3AE39B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固体废物综合利用率</w:t>
            </w:r>
          </w:p>
        </w:tc>
        <w:tc>
          <w:tcPr>
            <w:tcW w:w="0" w:type="auto"/>
          </w:tcPr>
          <w:p w14:paraId="62242DA6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%</w:t>
            </w:r>
          </w:p>
        </w:tc>
        <w:tc>
          <w:tcPr>
            <w:tcW w:w="0" w:type="auto"/>
          </w:tcPr>
          <w:p w14:paraId="58988EB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4F3BC7CD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7344DC7F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3693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</w:tcPr>
          <w:p w14:paraId="35C0F17F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3BDD12C6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41AEA8D2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1369089D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包装循环利用率</w:t>
            </w:r>
          </w:p>
        </w:tc>
        <w:tc>
          <w:tcPr>
            <w:tcW w:w="0" w:type="auto"/>
          </w:tcPr>
          <w:p w14:paraId="3AFEBA51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%</w:t>
            </w:r>
          </w:p>
        </w:tc>
        <w:tc>
          <w:tcPr>
            <w:tcW w:w="0" w:type="auto"/>
          </w:tcPr>
          <w:p w14:paraId="60F6B952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2A6A2F88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2B63AC6C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467BB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</w:tcPr>
          <w:p w14:paraId="5FC5EC41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生产洁净化（16%）</w:t>
            </w:r>
          </w:p>
        </w:tc>
        <w:tc>
          <w:tcPr>
            <w:tcW w:w="0" w:type="auto"/>
          </w:tcPr>
          <w:p w14:paraId="2D5E52E1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</w:p>
        </w:tc>
        <w:tc>
          <w:tcPr>
            <w:tcW w:w="0" w:type="auto"/>
            <w:gridSpan w:val="2"/>
          </w:tcPr>
          <w:p w14:paraId="40452473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生产工艺和设备</w:t>
            </w:r>
          </w:p>
        </w:tc>
        <w:tc>
          <w:tcPr>
            <w:tcW w:w="0" w:type="auto"/>
          </w:tcPr>
          <w:p w14:paraId="31B04065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/</w:t>
            </w:r>
          </w:p>
        </w:tc>
        <w:tc>
          <w:tcPr>
            <w:tcW w:w="0" w:type="auto"/>
          </w:tcPr>
          <w:p w14:paraId="7C8EE712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62D3151C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7CEB6703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33036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vMerge w:val="continue"/>
          </w:tcPr>
          <w:p w14:paraId="55809E1E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restart"/>
          </w:tcPr>
          <w:p w14:paraId="16E4BE8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</w:t>
            </w:r>
          </w:p>
        </w:tc>
        <w:tc>
          <w:tcPr>
            <w:tcW w:w="0" w:type="auto"/>
            <w:vMerge w:val="restart"/>
            <w:noWrap/>
          </w:tcPr>
          <w:p w14:paraId="653E5402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绿色低碳改造升级</w:t>
            </w:r>
          </w:p>
        </w:tc>
        <w:tc>
          <w:tcPr>
            <w:tcW w:w="0" w:type="auto"/>
          </w:tcPr>
          <w:p w14:paraId="18798ECB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近三年实施绿色低碳改造升级项目数量</w:t>
            </w:r>
          </w:p>
        </w:tc>
        <w:tc>
          <w:tcPr>
            <w:tcW w:w="0" w:type="auto"/>
          </w:tcPr>
          <w:p w14:paraId="243713E2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</w:t>
            </w:r>
          </w:p>
        </w:tc>
        <w:tc>
          <w:tcPr>
            <w:tcW w:w="0" w:type="auto"/>
          </w:tcPr>
          <w:p w14:paraId="7411BAD3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15719A83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2223741E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4DAB2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vMerge w:val="continue"/>
          </w:tcPr>
          <w:p w14:paraId="6FCC8EE5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03BDADFB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4B4B0A62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7593249E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近三年实施绿色低碳改造升级投资额占产值比例</w:t>
            </w:r>
          </w:p>
        </w:tc>
        <w:tc>
          <w:tcPr>
            <w:tcW w:w="0" w:type="auto"/>
          </w:tcPr>
          <w:p w14:paraId="2A88308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%</w:t>
            </w:r>
          </w:p>
        </w:tc>
        <w:tc>
          <w:tcPr>
            <w:tcW w:w="0" w:type="auto"/>
          </w:tcPr>
          <w:p w14:paraId="61FFED00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3E600D29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4C6B3208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0ED0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vMerge w:val="continue"/>
          </w:tcPr>
          <w:p w14:paraId="6FF2FFA3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restart"/>
          </w:tcPr>
          <w:p w14:paraId="37A13819">
            <w:pPr>
              <w:spacing w:after="0" w:line="240" w:lineRule="auto"/>
              <w:ind w:left="0" w:leftChars="0" w:firstLine="0" w:firstLineChars="0"/>
              <w:rPr>
                <w:rFonts w:hint="default" w:ascii="宋体" w:hAnsi="宋体" w:eastAsia="宋体"/>
              </w:rPr>
            </w:pPr>
            <w:r>
              <w:rPr>
                <w:rFonts w:hint="default" w:ascii="宋体" w:hAnsi="宋体" w:eastAsia="宋体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top"/>
          </w:tcPr>
          <w:p w14:paraId="505F2043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液体污染物排放强度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B02128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单位产品废水产生量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CB41BB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A3D3DB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295B4485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01BE441E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</w:tr>
      <w:tr w14:paraId="1447D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0" w:type="auto"/>
            <w:vMerge w:val="continue"/>
          </w:tcPr>
          <w:p w14:paraId="3282BE9E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1EB6BD4F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  <w:noWrap/>
          </w:tcPr>
          <w:p w14:paraId="36E3946A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3045BF7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单位产品化学需氧量（COD）产生量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CDBD45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D869EE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0186C518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3476D73C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</w:tr>
      <w:tr w14:paraId="2BCC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</w:tcPr>
          <w:p w14:paraId="6D054486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590498F3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  <w:noWrap/>
          </w:tcPr>
          <w:p w14:paraId="302FC9AC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6B378B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单位产品氨氮产生量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EE1428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3FB7E7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48E54E1A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2BBAA1B7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</w:tr>
      <w:tr w14:paraId="082B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</w:tcPr>
          <w:p w14:paraId="22DF9BAD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0908BA06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  <w:noWrap/>
          </w:tcPr>
          <w:p w14:paraId="38E8E4FE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0EFF547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单位产品石油类产生量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84BAD5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1CE830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6A668431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7BA124F5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</w:tr>
      <w:tr w14:paraId="3D7C0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</w:tcPr>
          <w:p w14:paraId="50C87B92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741401A8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  <w:noWrap/>
          </w:tcPr>
          <w:p w14:paraId="08FA4D62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068D443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单位产品总氮产生量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ED18E8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73213C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0F90009E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2FECED14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</w:tr>
      <w:tr w14:paraId="3D7BA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</w:tcPr>
          <w:p w14:paraId="313A8526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42D4B596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  <w:noWrap/>
          </w:tcPr>
          <w:p w14:paraId="6D1E61D0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7030600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单位产品总磷产生量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85AC1B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467913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77E709B4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4012DC58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</w:tr>
      <w:tr w14:paraId="3016F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0" w:type="auto"/>
            <w:vMerge w:val="continue"/>
          </w:tcPr>
          <w:p w14:paraId="20B9E915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restart"/>
          </w:tcPr>
          <w:p w14:paraId="3E226802">
            <w:pPr>
              <w:spacing w:after="0" w:line="240" w:lineRule="auto"/>
              <w:ind w:left="0" w:leftChars="0" w:firstLine="0" w:firstLineChars="0"/>
              <w:rPr>
                <w:rFonts w:hint="default" w:ascii="宋体" w:hAnsi="宋体" w:eastAsia="宋体"/>
              </w:rPr>
            </w:pPr>
            <w:r>
              <w:rPr>
                <w:rFonts w:hint="default" w:ascii="宋体" w:hAnsi="宋体" w:eastAsia="宋体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top"/>
          </w:tcPr>
          <w:p w14:paraId="222A9913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气体污染物排放强度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FA647C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单位产品废气产生量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B22E1B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B7C6F9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77ECDA01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29426669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</w:tr>
      <w:tr w14:paraId="21F2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0" w:type="auto"/>
            <w:vMerge w:val="continue"/>
          </w:tcPr>
          <w:p w14:paraId="19D7A1B1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45DE4EC1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  <w:noWrap/>
          </w:tcPr>
          <w:p w14:paraId="194FCB13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D143D21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单位产品二氧化硫产生量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84E012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5F2C19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3FF67D37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5E435163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</w:tr>
      <w:tr w14:paraId="2D9A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</w:tcPr>
          <w:p w14:paraId="3EC47629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25B5F5D2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  <w:noWrap/>
          </w:tcPr>
          <w:p w14:paraId="7A8CE9D0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5505C9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单位产品氮氧化物产生量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0DF406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88470D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14B2D74E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5DBF0577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</w:tr>
      <w:tr w14:paraId="74C3E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</w:tcPr>
          <w:p w14:paraId="24F66E83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0F505C1A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  <w:noWrap/>
          </w:tcPr>
          <w:p w14:paraId="73F4A089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8C14AFE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单位产品颗粒物产生量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11E537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AB2F83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17CF200C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01D34D60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</w:tr>
      <w:tr w14:paraId="182EE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</w:tcPr>
          <w:p w14:paraId="6AB187FA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6E8AB174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  <w:noWrap/>
          </w:tcPr>
          <w:p w14:paraId="7ED0351C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888C571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单位产品挥发性有机物产生量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3D78F9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A93879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45B4BD3E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6C1FE4C5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</w:tr>
      <w:tr w14:paraId="00C7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vMerge w:val="continue"/>
          </w:tcPr>
          <w:p w14:paraId="4D72BDCF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34596239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  <w:noWrap/>
          </w:tcPr>
          <w:p w14:paraId="5BCA2734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19EED7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单位产品甲苯产生量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76FA25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E671A5">
            <w:pPr>
              <w:spacing w:after="0" w:line="240" w:lineRule="auto"/>
              <w:rPr>
                <w:rFonts w:hint="eastAsia" w:ascii="宋体" w:hAnsi="宋体" w:eastAsia="宋体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3BDE84C2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30562C56">
            <w:pPr>
              <w:spacing w:after="0" w:line="240" w:lineRule="auto"/>
              <w:ind w:left="0" w:leftChars="0" w:firstLine="0" w:firstLineChars="0"/>
              <w:rPr>
                <w:rFonts w:hint="eastAsia" w:ascii="宋体" w:hAnsi="宋体" w:eastAsia="宋体"/>
              </w:rPr>
            </w:pPr>
          </w:p>
        </w:tc>
      </w:tr>
      <w:tr w14:paraId="545C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</w:tcPr>
          <w:p w14:paraId="69CEC25E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restart"/>
          </w:tcPr>
          <w:p w14:paraId="7F85E3ED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hint="default" w:ascii="宋体" w:hAnsi="宋体" w:eastAsia="宋体"/>
              </w:rPr>
              <w:t>3</w:t>
            </w:r>
          </w:p>
        </w:tc>
        <w:tc>
          <w:tcPr>
            <w:tcW w:w="0" w:type="auto"/>
            <w:vMerge w:val="restart"/>
          </w:tcPr>
          <w:p w14:paraId="5AEB8D42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危险废弃物排放强度</w:t>
            </w:r>
          </w:p>
        </w:tc>
        <w:tc>
          <w:tcPr>
            <w:tcW w:w="0" w:type="auto"/>
          </w:tcPr>
          <w:p w14:paraId="38CAA9B3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单位产品危险废弃物排放量</w:t>
            </w:r>
          </w:p>
        </w:tc>
        <w:tc>
          <w:tcPr>
            <w:tcW w:w="0" w:type="auto"/>
          </w:tcPr>
          <w:p w14:paraId="2F18FB16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0" w:type="auto"/>
          </w:tcPr>
          <w:p w14:paraId="1AD551DC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77E24736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6C6731C8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3651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</w:tcPr>
          <w:p w14:paraId="6D556042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3E54597C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13117B20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3538ACF1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单位产品危险废弃物处置量</w:t>
            </w:r>
          </w:p>
        </w:tc>
        <w:tc>
          <w:tcPr>
            <w:tcW w:w="0" w:type="auto"/>
          </w:tcPr>
          <w:p w14:paraId="235D78D7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0" w:type="auto"/>
          </w:tcPr>
          <w:p w14:paraId="1FC531B2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0DDCD1F6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50B61455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2FA8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vMerge w:val="restart"/>
          </w:tcPr>
          <w:p w14:paraId="1E0308AA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产品绿色化（16%）</w:t>
            </w:r>
          </w:p>
        </w:tc>
        <w:tc>
          <w:tcPr>
            <w:tcW w:w="0" w:type="auto"/>
            <w:vMerge w:val="restart"/>
          </w:tcPr>
          <w:p w14:paraId="562F1B1A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hint="default" w:ascii="宋体" w:hAnsi="宋体" w:eastAsia="宋体"/>
              </w:rPr>
              <w:t>4</w:t>
            </w:r>
          </w:p>
        </w:tc>
        <w:tc>
          <w:tcPr>
            <w:tcW w:w="0" w:type="auto"/>
            <w:vMerge w:val="restart"/>
          </w:tcPr>
          <w:p w14:paraId="001720F9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绿色设计</w:t>
            </w:r>
          </w:p>
        </w:tc>
        <w:tc>
          <w:tcPr>
            <w:tcW w:w="0" w:type="auto"/>
          </w:tcPr>
          <w:p w14:paraId="01FBDA5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绿色设计评价报告与生命周期评价报告</w:t>
            </w:r>
          </w:p>
        </w:tc>
        <w:tc>
          <w:tcPr>
            <w:tcW w:w="0" w:type="auto"/>
          </w:tcPr>
          <w:p w14:paraId="031EA4C1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7E1E1EE7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72FD674D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28B976FB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402C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0" w:type="auto"/>
            <w:vMerge w:val="continue"/>
          </w:tcPr>
          <w:p w14:paraId="506887EE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46E30456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6182EAAB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46899300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经认证的绿色产品数量</w:t>
            </w:r>
          </w:p>
        </w:tc>
        <w:tc>
          <w:tcPr>
            <w:tcW w:w="0" w:type="auto"/>
          </w:tcPr>
          <w:p w14:paraId="089BF666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</w:t>
            </w:r>
          </w:p>
        </w:tc>
        <w:tc>
          <w:tcPr>
            <w:tcW w:w="0" w:type="auto"/>
          </w:tcPr>
          <w:p w14:paraId="2A01A7A5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4C38BA17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1E7783CE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3688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</w:tcPr>
          <w:p w14:paraId="0C66ED1D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025E5470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hint="default" w:ascii="宋体" w:hAnsi="宋体" w:eastAsia="宋体"/>
              </w:rPr>
              <w:t>5</w:t>
            </w:r>
          </w:p>
        </w:tc>
        <w:tc>
          <w:tcPr>
            <w:tcW w:w="0" w:type="auto"/>
          </w:tcPr>
          <w:p w14:paraId="66DF9BE5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产品碳足迹</w:t>
            </w:r>
          </w:p>
        </w:tc>
        <w:tc>
          <w:tcPr>
            <w:tcW w:w="0" w:type="auto"/>
          </w:tcPr>
          <w:p w14:paraId="7D090923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开展碳足迹核算的产品比重</w:t>
            </w:r>
          </w:p>
        </w:tc>
        <w:tc>
          <w:tcPr>
            <w:tcW w:w="0" w:type="auto"/>
          </w:tcPr>
          <w:p w14:paraId="4C40AFF6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%</w:t>
            </w:r>
          </w:p>
        </w:tc>
        <w:tc>
          <w:tcPr>
            <w:tcW w:w="0" w:type="auto"/>
          </w:tcPr>
          <w:p w14:paraId="3E615190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0F562DDE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300EB927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58C4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0" w:type="auto"/>
            <w:vMerge w:val="continue"/>
          </w:tcPr>
          <w:p w14:paraId="26403AB2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restart"/>
          </w:tcPr>
          <w:p w14:paraId="315EA93A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hint="default" w:ascii="宋体" w:hAnsi="宋体" w:eastAsia="宋体"/>
              </w:rPr>
              <w:t>6</w:t>
            </w:r>
          </w:p>
        </w:tc>
        <w:tc>
          <w:tcPr>
            <w:tcW w:w="0" w:type="auto"/>
            <w:vMerge w:val="restart"/>
          </w:tcPr>
          <w:p w14:paraId="3A085437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绿色产品</w:t>
            </w:r>
            <w:r>
              <w:rPr>
                <w:rStyle w:val="19"/>
                <w:rFonts w:hint="eastAsia" w:ascii="宋体" w:hAnsi="宋体" w:eastAsia="宋体"/>
              </w:rPr>
              <w:footnoteReference w:id="0"/>
            </w:r>
            <w:r>
              <w:rPr>
                <w:rFonts w:hint="eastAsia" w:ascii="宋体" w:hAnsi="宋体" w:eastAsia="宋体"/>
              </w:rPr>
              <w:t>产值占比</w:t>
            </w:r>
          </w:p>
        </w:tc>
        <w:tc>
          <w:tcPr>
            <w:tcW w:w="0" w:type="auto"/>
          </w:tcPr>
          <w:p w14:paraId="2DCBD479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经认证的绿色产品产值占比</w:t>
            </w:r>
          </w:p>
        </w:tc>
        <w:tc>
          <w:tcPr>
            <w:tcW w:w="0" w:type="auto"/>
          </w:tcPr>
          <w:p w14:paraId="4A3F8C7C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%</w:t>
            </w:r>
          </w:p>
        </w:tc>
        <w:tc>
          <w:tcPr>
            <w:tcW w:w="0" w:type="auto"/>
          </w:tcPr>
          <w:p w14:paraId="2AF94328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75464C05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26091EB0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3C217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</w:tcPr>
          <w:p w14:paraId="73563752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2684E17F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  <w:vMerge w:val="continue"/>
          </w:tcPr>
          <w:p w14:paraId="3DA67FD6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7DB06B16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产品绿色物料使用率</w:t>
            </w:r>
          </w:p>
        </w:tc>
        <w:tc>
          <w:tcPr>
            <w:tcW w:w="0" w:type="auto"/>
          </w:tcPr>
          <w:p w14:paraId="0895DA56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%</w:t>
            </w:r>
          </w:p>
        </w:tc>
        <w:tc>
          <w:tcPr>
            <w:tcW w:w="0" w:type="auto"/>
          </w:tcPr>
          <w:p w14:paraId="60385B1A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08C0FE83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675109F0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67C4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</w:tcPr>
          <w:p w14:paraId="68174CBF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用地节约化（8%）</w:t>
            </w:r>
          </w:p>
        </w:tc>
        <w:tc>
          <w:tcPr>
            <w:tcW w:w="0" w:type="auto"/>
          </w:tcPr>
          <w:p w14:paraId="7C47C7F6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hint="default" w:ascii="宋体" w:hAnsi="宋体" w:eastAsia="宋体"/>
              </w:rPr>
              <w:t>7</w:t>
            </w:r>
          </w:p>
        </w:tc>
        <w:tc>
          <w:tcPr>
            <w:tcW w:w="0" w:type="auto"/>
          </w:tcPr>
          <w:p w14:paraId="2D8BC7B7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土地产出率</w:t>
            </w:r>
          </w:p>
        </w:tc>
        <w:tc>
          <w:tcPr>
            <w:tcW w:w="0" w:type="auto"/>
          </w:tcPr>
          <w:p w14:paraId="54ED692B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单位用地面积产值</w:t>
            </w:r>
          </w:p>
        </w:tc>
        <w:tc>
          <w:tcPr>
            <w:tcW w:w="0" w:type="auto"/>
          </w:tcPr>
          <w:p w14:paraId="343BAF57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万元/hm2</w:t>
            </w:r>
          </w:p>
        </w:tc>
        <w:tc>
          <w:tcPr>
            <w:tcW w:w="0" w:type="auto"/>
          </w:tcPr>
          <w:p w14:paraId="19C90E6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0" w:type="auto"/>
          </w:tcPr>
          <w:p w14:paraId="60373E53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0" w:type="auto"/>
          </w:tcPr>
          <w:p w14:paraId="64AB834A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</w:tbl>
    <w:p w14:paraId="781B36CC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8" w:lineRule="auto"/>
      </w:pPr>
      <w:r>
        <w:separator/>
      </w:r>
    </w:p>
  </w:footnote>
  <w:footnote w:type="continuationSeparator" w:id="3">
    <w:p>
      <w:pPr>
        <w:spacing w:before="0" w:after="0" w:line="278" w:lineRule="auto"/>
      </w:pPr>
      <w:r>
        <w:continuationSeparator/>
      </w:r>
    </w:p>
  </w:footnote>
  <w:footnote w:id="0">
    <w:p w14:paraId="266D8FE2">
      <w:pPr>
        <w:pStyle w:val="14"/>
        <w:rPr>
          <w:rFonts w:hint="eastAsia"/>
        </w:rPr>
      </w:pPr>
      <w:r>
        <w:rPr>
          <w:rStyle w:val="19"/>
          <w:rFonts w:hint="eastAsia"/>
        </w:rPr>
        <w:footnoteRef/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</w:rPr>
        <w:t>绿色产品green product：在全生命周期过程中，符合环境保护要求，对生态环境和人体健康无害或危害小，资源能源消耗少、碳排放低、品质高的产品。[来源：GB/T 33761-2024，定义3.1]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B1"/>
    <w:rsid w:val="00071316"/>
    <w:rsid w:val="000B71B1"/>
    <w:rsid w:val="005A25A2"/>
    <w:rsid w:val="006102E3"/>
    <w:rsid w:val="00655924"/>
    <w:rsid w:val="006C1EC4"/>
    <w:rsid w:val="007B63A8"/>
    <w:rsid w:val="008332F0"/>
    <w:rsid w:val="008C20E2"/>
    <w:rsid w:val="00A606F4"/>
    <w:rsid w:val="00C05B4C"/>
    <w:rsid w:val="00EE277E"/>
    <w:rsid w:val="0A4D4315"/>
    <w:rsid w:val="357E3CB4"/>
    <w:rsid w:val="4AF04B91"/>
    <w:rsid w:val="4C9F14F2"/>
    <w:rsid w:val="6BF5B62E"/>
    <w:rsid w:val="7AFF1C55"/>
    <w:rsid w:val="7B5B0D43"/>
    <w:rsid w:val="7BEF773D"/>
    <w:rsid w:val="DFDFF334"/>
    <w:rsid w:val="EBFF79D1"/>
    <w:rsid w:val="FFEFE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footnote text"/>
    <w:basedOn w:val="1"/>
    <w:link w:val="40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15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footnote reference"/>
    <w:basedOn w:val="18"/>
    <w:semiHidden/>
    <w:unhideWhenUsed/>
    <w:qFormat/>
    <w:uiPriority w:val="99"/>
    <w:rPr>
      <w:vertAlign w:val="superscript"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1"/>
    <w:qFormat/>
    <w:uiPriority w:val="99"/>
    <w:rPr>
      <w:sz w:val="18"/>
      <w:szCs w:val="18"/>
    </w:rPr>
  </w:style>
  <w:style w:type="character" w:customStyle="1" w:styleId="40">
    <w:name w:val="脚注文本 字符"/>
    <w:basedOn w:val="18"/>
    <w:link w:val="1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875</Words>
  <Characters>994</Characters>
  <Lines>16</Lines>
  <Paragraphs>4</Paragraphs>
  <TotalTime>0</TotalTime>
  <ScaleCrop>false</ScaleCrop>
  <LinksUpToDate>false</LinksUpToDate>
  <CharactersWithSpaces>1058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2025-03-26T00:43:00Z</dcterms:created>
  <dc:creator>CY C</dc:creator>
  <cp:lastModifiedBy>梁彦会</cp:lastModifiedBy>
  <dcterms:modified xsi:type="dcterms:W3CDTF">2025-03-28T01:37:11Z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1F9CDA3D154821CD9D86E267AB9E53CC_42</vt:lpwstr>
  </property>
  <property fmtid="{D5CDD505-2E9C-101B-9397-08002B2CF9AE}" pid="4" name="KSOTemplateDocerSaveRecord">
    <vt:lpwstr>eyJoZGlkIjoiZDhlMzY4OTg4ZDMwMDRmZjc0ZTFmNTViMjFjMTFiZjIiLCJ1c2VySWQiOiIyNTg0OTAwODUifQ==</vt:lpwstr>
  </property>
</Properties>
</file>