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Spec="center" w:tblpY="3618"/>
        <w:tblOverlap w:val="never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9"/>
        <w:gridCol w:w="4241"/>
        <w:gridCol w:w="3341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立项目的与意义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国际同类标准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国内相关法规标准情况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香紫苏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内酯</w:t>
            </w:r>
          </w:p>
        </w:tc>
        <w:tc>
          <w:tcPr>
            <w:tcW w:w="4241" w:type="dxa"/>
            <w:vAlign w:val="center"/>
          </w:tcPr>
          <w:p>
            <w:pPr>
              <w:ind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香紫苏内酯是龙涎香产品（降龙涎醚）的主要原料，被广泛应用于香精香料产品的调制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香紫苏内酯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目前并没有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统一的行业和国家标准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，为引领行业发展，帮助企业提高核心竞争力，加强行业自律，规范生产经营，以及规范行业内产品质量和技术标准，本团体标准有很强的必要性。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widowControl w:val="0"/>
              <w:ind w:left="0" w:leftChars="0"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本标准适用于利用生物方法制备的香紫苏内酯，作为香料应用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于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香化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、烟草和食品工业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规定了香紫苏内酯的</w:t>
            </w:r>
            <w:r>
              <w:rPr>
                <w:rFonts w:hint="eastAsia" w:hAnsi="宋体"/>
                <w:sz w:val="21"/>
                <w:szCs w:val="21"/>
                <w:highlight w:val="none"/>
              </w:rPr>
              <w:t>基本信息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包括含量、香气、外观、密度、熔点等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hAnsi="宋体"/>
                <w:sz w:val="21"/>
                <w:szCs w:val="21"/>
                <w:highlight w:val="none"/>
              </w:rPr>
              <w:t>、技术要求、试验方法、检验规则以及包装、标志、运输和贮存、保质期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等技术指标。</w:t>
            </w:r>
          </w:p>
        </w:tc>
        <w:tc>
          <w:tcPr>
            <w:tcW w:w="440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香紫苏内酯被美国香料和香精制造者协会（FEMA）列入GRAS表中；</w:t>
            </w:r>
          </w:p>
          <w:p>
            <w:pPr>
              <w:ind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国内与香紫苏内酯相关的标准有《食品安全国家标准食品用香料通则》GB29938-2020。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eastAsia="zh-CN"/>
        </w:rPr>
        <w:t>2024年中国香料香精化妆品工业协会团体标准（第三批）立项简介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057E7B1E"/>
    <w:rsid w:val="1C4E5920"/>
    <w:rsid w:val="22E50E27"/>
    <w:rsid w:val="27587BEA"/>
    <w:rsid w:val="578B6AAA"/>
    <w:rsid w:val="6BC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429</Characters>
  <Lines>0</Lines>
  <Paragraphs>0</Paragraphs>
  <TotalTime>1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lllim</dc:creator>
  <cp:lastModifiedBy>... ...</cp:lastModifiedBy>
  <dcterms:modified xsi:type="dcterms:W3CDTF">2024-07-04T01:03:56Z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CA46023361BF4D5CADDAE44594A6D263_13</vt:lpwstr>
  </property>
</Properties>
</file>