
<file path=[Content_Types].xml><?xml version="1.0" encoding="utf-8"?>
<Types xmlns="http://schemas.openxmlformats.org/package/2006/content-types">
  <Default Extension="xml" ContentType="application/xml"/>
  <Default Extension="gif" ContentType="image/gif"/>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framePr w:hSpace="180" w:vSpace="180" w:wrap="around" w:vAnchor="margin" w:hAnchor="text" w:y="1" w:anchorLock="1"/>
        <w:jc w:val="left"/>
        <w:textAlignment w:val="center"/>
        <w:rPr>
          <w:rFonts w:hint="eastAsia" w:ascii="黑体" w:hAnsi="黑体" w:eastAsia="黑体" w:cs="黑体"/>
          <w:kern w:val="0"/>
          <w:szCs w:val="21"/>
        </w:rPr>
      </w:pPr>
      <w:r>
        <w:rPr>
          <w:rFonts w:hint="eastAsia" w:ascii="黑体" w:hAnsi="黑体" w:eastAsia="黑体" w:cs="黑体"/>
          <w:kern w:val="0"/>
          <w:szCs w:val="21"/>
        </w:rPr>
        <w:t>ICS 71.100.70</w:t>
      </w:r>
    </w:p>
    <w:p>
      <w:pPr>
        <w:framePr w:hSpace="180" w:vSpace="180" w:wrap="around" w:vAnchor="margin" w:hAnchor="text" w:y="1" w:anchorLock="1"/>
        <w:jc w:val="left"/>
        <w:textAlignment w:val="center"/>
        <w:rPr>
          <w:rFonts w:hint="eastAsia" w:ascii="黑体" w:hAnsi="黑体" w:eastAsia="黑体" w:cs="黑体"/>
          <w:kern w:val="0"/>
          <w:szCs w:val="21"/>
        </w:rPr>
      </w:pPr>
      <w:r>
        <w:rPr>
          <w:rFonts w:hint="eastAsia" w:ascii="黑体" w:hAnsi="黑体" w:eastAsia="黑体" w:cs="黑体"/>
          <w:kern w:val="0"/>
          <w:szCs w:val="21"/>
        </w:rPr>
        <w:t>Y42</w:t>
      </w:r>
    </w:p>
    <w:tbl>
      <w:tblPr>
        <w:tblStyle w:val="9"/>
        <w:tblW w:w="985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85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9854" w:type="dxa"/>
            <w:tcBorders>
              <w:top w:val="nil"/>
              <w:left w:val="nil"/>
              <w:bottom w:val="nil"/>
              <w:right w:val="nil"/>
            </w:tcBorders>
          </w:tcPr>
          <w:p>
            <w:pPr>
              <w:framePr w:hSpace="180" w:vSpace="180" w:wrap="around" w:vAnchor="margin" w:hAnchor="text" w:y="1" w:anchorLock="1"/>
              <w:jc w:val="left"/>
              <w:textAlignment w:val="center"/>
              <w:rPr>
                <w:rFonts w:ascii="Times New Roman" w:hAnsi="Times New Roman" w:eastAsia="黑体" w:cs="Times New Roman"/>
                <w:kern w:val="0"/>
                <w:szCs w:val="21"/>
              </w:rPr>
            </w:pPr>
            <w:r>
              <w:rPr>
                <w:rFonts w:ascii="Times New Roman" w:hAnsi="Times New Roman" w:eastAsia="黑体" w:cs="Times New Roman"/>
                <w:kern w:val="0"/>
                <w:szCs w:val="21"/>
              </w:rPr>
              <mc:AlternateContent>
                <mc:Choice Requires="wps">
                  <w:drawing>
                    <wp:anchor distT="0" distB="0" distL="114300" distR="114300" simplePos="0" relativeHeight="251662336" behindDoc="1" locked="0" layoutInCell="1" allowOverlap="1">
                      <wp:simplePos x="0" y="0"/>
                      <wp:positionH relativeFrom="column">
                        <wp:posOffset>-66675</wp:posOffset>
                      </wp:positionH>
                      <wp:positionV relativeFrom="paragraph">
                        <wp:posOffset>0</wp:posOffset>
                      </wp:positionV>
                      <wp:extent cx="866775" cy="198120"/>
                      <wp:effectExtent l="0" t="0" r="9525" b="0"/>
                      <wp:wrapNone/>
                      <wp:docPr id="11" name="矩形 11"/>
                      <wp:cNvGraphicFramePr/>
                      <a:graphic xmlns:a="http://schemas.openxmlformats.org/drawingml/2006/main">
                        <a:graphicData uri="http://schemas.microsoft.com/office/word/2010/wordprocessingShape">
                          <wps:wsp>
                            <wps:cNvSpPr/>
                            <wps:spPr>
                              <a:xfrm>
                                <a:off x="0" y="0"/>
                                <a:ext cx="866775" cy="198120"/>
                              </a:xfrm>
                              <a:prstGeom prst="rect">
                                <a:avLst/>
                              </a:prstGeom>
                              <a:solidFill>
                                <a:srgbClr val="FFFFFF"/>
                              </a:solidFill>
                              <a:ln w="9525">
                                <a:noFill/>
                              </a:ln>
                              <a:effectLst/>
                            </wps:spPr>
                            <wps:bodyPr upright="1"/>
                          </wps:wsp>
                        </a:graphicData>
                      </a:graphic>
                    </wp:anchor>
                  </w:drawing>
                </mc:Choice>
                <mc:Fallback>
                  <w:pict>
                    <v:rect id="_x0000_s1026" o:spid="_x0000_s1026" o:spt="1" style="position:absolute;left:0pt;margin-left:-5.25pt;margin-top:0pt;height:15.6pt;width:68.25pt;z-index:-251654144;mso-width-relative:page;mso-height-relative:page;" fillcolor="#FFFFFF" filled="t" stroked="f" coordsize="21600,21600" o:gfxdata="UEsDBAoAAAAAAIdO4kAAAAAAAAAAAAAAAAAEAAAAZHJzL1BLAwQUAAAACACHTuJAyK4v7NUAAAAH&#10;AQAADwAAAGRycy9kb3ducmV2LnhtbE2PwW7CMBBE75X6D9ZW4gZ2QoloGodDJU6lhwIS1yVekqjx&#10;Oo0dSP++5tTeZjWjmbfFZrKduNLgW8cakoUCQVw503Kt4XjYztcgfEA22DkmDT/kYVM+PhSYG3fj&#10;T7ruQy1iCfscNTQh9LmUvmrIol+4njh6FzdYDPEcamkGvMVy28lUqUxabDkuNNjTW0PV1360GjB7&#10;Nt8fl+Xu8D5m+FJPars6Ka1nT4l6BRFoCn9huONHdCgj09mNbLzoNMwTtYpRDfGju51mUZw1LJMU&#10;ZFnI//zlL1BLAwQUAAAACACHTuJActaIBqQBAAApAwAADgAAAGRycy9lMm9Eb2MueG1srVLNjhMx&#10;DL4j8Q5R7jSdSu12R53ugVW5IFhp4QHSTDITKX+ys532aZC48RA8DuI1cNJSFrgh5pCxY+ezv8/e&#10;3B29YwcNaGPoeDObc6aDir0NQ8c/fti9WnOGWYZeuhh0x08a+d325YvNlFq9iGN0vQZGIAHbKXV8&#10;zDm1QqAatZc4i0kHCpoIXmZyYRA9yInQvROL+Xwlpgh9gqg0It3en4N8W/GN0Sq/NwZ1Zq7j1Fuu&#10;J9RzX06x3ch2AJlGqy5tyH/owksbqOgV6l5myZ7A/gXlrYKI0eSZil5EY6zSlQOxaeZ/sHkcZdKV&#10;C4mD6SoT/j9Y9e7wAMz2NLuGsyA9zej7py/fvn5mdEHqTAlbSnpMD3DxkMxC9WjAlz+RYMeq6Omq&#10;qD5mpuhyvVrd3Cw5UxRqbtfNoioufj1OgPmNjp4Vo+NAA6s6ysNbzFSQUn+mlFoYne131rnqwLB/&#10;7YAdJA13V7/SMT35Lc0FNnX8drlYVuQQy/tzngsFR9c9udQrfM8Mi7WP/Yn0eUpgh5H6q5KIEqF5&#10;1FKX3SkDf+6T/XzDtz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EgQAAFtDb250ZW50X1R5cGVzXS54bWxQSwECFAAKAAAAAACHTuJAAAAAAAAA&#10;AAAAAAAABgAAAAAAAAAAABAAAAD0AgAAX3JlbHMvUEsBAhQAFAAAAAgAh07iQIoUZjzRAAAAlAEA&#10;AAsAAAAAAAAAAQAgAAAAGAMAAF9yZWxzLy5yZWxzUEsBAhQACgAAAAAAh07iQAAAAAAAAAAAAAAA&#10;AAQAAAAAAAAAAAAQAAAAAAAAAGRycy9QSwECFAAUAAAACACHTuJAyK4v7NUAAAAHAQAADwAAAAAA&#10;AAABACAAAAAiAAAAZHJzL2Rvd25yZXYueG1sUEsBAhQAFAAAAAgAh07iQHLWiAakAQAAKQMAAA4A&#10;AAAAAAAAAQAgAAAAJAEAAGRycy9lMm9Eb2MueG1sUEsFBgAAAAAGAAYAWQEAADoFAAAAAA==&#10;">
                      <v:fill on="t" focussize="0,0"/>
                      <v:stroke on="f"/>
                      <v:imagedata o:title=""/>
                      <o:lock v:ext="edit" aspectratio="f"/>
                    </v:rect>
                  </w:pict>
                </mc:Fallback>
              </mc:AlternateContent>
            </w:r>
          </w:p>
        </w:tc>
      </w:tr>
    </w:tbl>
    <w:p>
      <w:pPr>
        <w:framePr w:hSpace="181" w:vSpace="181" w:wrap="around" w:vAnchor="page" w:hAnchor="page" w:x="1419" w:y="2286" w:anchorLock="1"/>
        <w:widowControl/>
        <w:spacing w:line="0" w:lineRule="atLeast"/>
        <w:jc w:val="distribute"/>
        <w:rPr>
          <w:rFonts w:ascii="Times New Roman" w:hAnsi="Times New Roman" w:eastAsia="黑体" w:cs="Times New Roman"/>
          <w:spacing w:val="-40"/>
          <w:kern w:val="0"/>
          <w:sz w:val="48"/>
          <w:szCs w:val="52"/>
        </w:rPr>
      </w:pPr>
      <w:r>
        <w:rPr>
          <w:rFonts w:ascii="Times New Roman" w:hAnsi="Times New Roman" w:eastAsia="黑体" w:cs="Times New Roman"/>
          <w:spacing w:val="-40"/>
          <w:kern w:val="0"/>
          <w:sz w:val="48"/>
          <w:szCs w:val="52"/>
        </w:rPr>
        <w:t>团体标准</w:t>
      </w:r>
    </w:p>
    <w:p>
      <w:pPr>
        <w:framePr w:w="9140" w:h="1242" w:hRule="exact" w:hSpace="284" w:wrap="around" w:vAnchor="page" w:hAnchor="page" w:x="1645" w:y="2910" w:anchorLock="1"/>
        <w:widowControl/>
        <w:spacing w:before="357" w:line="280" w:lineRule="exact"/>
        <w:jc w:val="right"/>
        <w:rPr>
          <w:rFonts w:hint="eastAsia" w:ascii="黑体" w:hAnsi="黑体" w:eastAsia="黑体" w:cs="黑体"/>
          <w:kern w:val="0"/>
          <w:sz w:val="28"/>
          <w:szCs w:val="28"/>
        </w:rPr>
      </w:pPr>
      <w:r>
        <w:rPr>
          <w:rFonts w:hint="eastAsia" w:ascii="黑体" w:hAnsi="黑体" w:eastAsia="黑体" w:cs="黑体"/>
          <w:kern w:val="0"/>
          <w:sz w:val="28"/>
          <w:szCs w:val="28"/>
        </w:rPr>
        <w:t>T/CAFFCI XXXX—XXXX</w:t>
      </w:r>
    </w:p>
    <w:tbl>
      <w:tblPr>
        <w:tblStyle w:val="9"/>
        <w:tblW w:w="935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3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356" w:type="dxa"/>
            <w:tcBorders>
              <w:top w:val="nil"/>
              <w:left w:val="nil"/>
              <w:bottom w:val="nil"/>
              <w:right w:val="nil"/>
            </w:tcBorders>
          </w:tcPr>
          <w:p>
            <w:pPr>
              <w:framePr w:w="9140" w:h="1242" w:hRule="exact" w:hSpace="284" w:wrap="around" w:vAnchor="page" w:hAnchor="page" w:x="1645" w:y="2910" w:anchorLock="1"/>
              <w:widowControl/>
              <w:spacing w:before="57" w:line="280" w:lineRule="exact"/>
              <w:jc w:val="right"/>
              <w:rPr>
                <w:rFonts w:ascii="Times New Roman" w:hAnsi="Times New Roman" w:eastAsia="宋体" w:cs="Times New Roman"/>
                <w:kern w:val="0"/>
                <w:szCs w:val="21"/>
              </w:rPr>
            </w:pPr>
          </w:p>
        </w:tc>
      </w:tr>
    </w:tbl>
    <w:p>
      <w:pPr>
        <w:framePr w:w="9140" w:h="1242" w:hRule="exact" w:hSpace="284" w:wrap="around" w:vAnchor="page" w:hAnchor="page" w:x="1645" w:y="2910" w:anchorLock="1"/>
        <w:widowControl/>
        <w:spacing w:before="357" w:line="280" w:lineRule="exact"/>
        <w:jc w:val="right"/>
        <w:rPr>
          <w:rFonts w:ascii="Times New Roman" w:hAnsi="Times New Roman" w:eastAsia="黑体" w:cs="Times New Roman"/>
          <w:kern w:val="0"/>
          <w:sz w:val="28"/>
          <w:szCs w:val="28"/>
        </w:rPr>
      </w:pPr>
    </w:p>
    <w:p>
      <w:pPr>
        <w:framePr w:w="9140" w:h="1242" w:hRule="exact" w:hSpace="284" w:wrap="around" w:vAnchor="page" w:hAnchor="page" w:x="1645" w:y="2910" w:anchorLock="1"/>
        <w:widowControl/>
        <w:spacing w:before="357" w:line="280" w:lineRule="exact"/>
        <w:jc w:val="right"/>
        <w:rPr>
          <w:rFonts w:ascii="Times New Roman" w:hAnsi="Times New Roman" w:eastAsia="黑体" w:cs="Times New Roman"/>
          <w:kern w:val="0"/>
          <w:sz w:val="28"/>
          <w:szCs w:val="28"/>
        </w:rPr>
      </w:pPr>
    </w:p>
    <w:p>
      <w:pPr>
        <w:framePr w:w="9639" w:h="6917" w:hRule="exact" w:wrap="around" w:vAnchor="page" w:hAnchor="page" w:xAlign="center" w:y="6408" w:anchorLock="1"/>
        <w:spacing w:line="680" w:lineRule="exact"/>
        <w:jc w:val="center"/>
        <w:textAlignment w:val="center"/>
        <w:rPr>
          <w:rFonts w:hint="eastAsia" w:ascii="黑体" w:hAnsi="黑体" w:eastAsia="黑体" w:cs="黑体"/>
          <w:kern w:val="0"/>
          <w:sz w:val="52"/>
          <w:szCs w:val="20"/>
        </w:rPr>
      </w:pPr>
      <w:r>
        <w:rPr>
          <w:rFonts w:hint="eastAsia" w:ascii="黑体" w:hAnsi="黑体" w:eastAsia="黑体" w:cs="黑体"/>
          <w:kern w:val="0"/>
          <w:sz w:val="52"/>
          <w:szCs w:val="20"/>
        </w:rPr>
        <w:t xml:space="preserve">化妆品用原料 </w:t>
      </w:r>
    </w:p>
    <w:p>
      <w:pPr>
        <w:framePr w:w="9639" w:h="6917" w:hRule="exact" w:wrap="around" w:vAnchor="page" w:hAnchor="page" w:xAlign="center" w:y="6408" w:anchorLock="1"/>
        <w:spacing w:line="680" w:lineRule="exact"/>
        <w:jc w:val="center"/>
        <w:textAlignment w:val="center"/>
        <w:rPr>
          <w:rFonts w:hint="eastAsia" w:ascii="黑体" w:hAnsi="黑体" w:eastAsia="黑体" w:cs="黑体"/>
          <w:kern w:val="0"/>
          <w:sz w:val="52"/>
          <w:szCs w:val="20"/>
          <w:highlight w:val="yellow"/>
        </w:rPr>
      </w:pPr>
      <w:r>
        <w:rPr>
          <w:rFonts w:hint="eastAsia" w:ascii="黑体" w:hAnsi="黑体" w:eastAsia="黑体" w:cs="黑体"/>
          <w:kern w:val="0"/>
          <w:sz w:val="52"/>
          <w:szCs w:val="20"/>
        </w:rPr>
        <w:t>积雪草（Centella asiatica）提取物</w:t>
      </w:r>
    </w:p>
    <w:p>
      <w:pPr>
        <w:framePr w:w="9639" w:h="6917" w:hRule="exact" w:wrap="around" w:vAnchor="page" w:hAnchor="page" w:xAlign="center" w:y="6408" w:anchorLock="1"/>
        <w:spacing w:before="370" w:line="400" w:lineRule="exact"/>
        <w:jc w:val="center"/>
        <w:textAlignment w:val="center"/>
        <w:rPr>
          <w:rFonts w:hint="eastAsia" w:ascii="黑体" w:hAnsi="黑体" w:eastAsia="黑体" w:cs="黑体"/>
          <w:kern w:val="0"/>
          <w:sz w:val="28"/>
          <w:szCs w:val="28"/>
        </w:rPr>
      </w:pPr>
      <w:bookmarkStart w:id="0" w:name="YZBS"/>
      <w:r>
        <w:rPr>
          <w:rFonts w:hint="eastAsia" w:ascii="黑体" w:hAnsi="黑体" w:eastAsia="黑体" w:cs="黑体"/>
          <w:kern w:val="0"/>
          <w:sz w:val="28"/>
          <w:szCs w:val="28"/>
        </w:rPr>
        <w:t xml:space="preserve"> Cosmetic ingredients - Centella asiatica extract </w:t>
      </w:r>
    </w:p>
    <w:bookmarkEnd w:id="0"/>
    <w:p>
      <w:pPr>
        <w:framePr w:w="9639" w:h="6917" w:hRule="exact" w:wrap="around" w:vAnchor="page" w:hAnchor="page" w:xAlign="center" w:y="6408" w:anchorLock="1"/>
        <w:spacing w:before="370" w:line="400" w:lineRule="exact"/>
        <w:jc w:val="center"/>
        <w:textAlignment w:val="center"/>
        <w:rPr>
          <w:rFonts w:ascii="Times New Roman" w:hAnsi="Times New Roman" w:eastAsia="黑体" w:cs="Times New Roman"/>
          <w:kern w:val="0"/>
          <w:sz w:val="28"/>
          <w:szCs w:val="28"/>
        </w:rPr>
      </w:pPr>
    </w:p>
    <w:tbl>
      <w:tblPr>
        <w:tblStyle w:val="9"/>
        <w:tblW w:w="985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8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855" w:type="dxa"/>
            <w:tcBorders>
              <w:top w:val="nil"/>
              <w:left w:val="nil"/>
              <w:bottom w:val="nil"/>
              <w:right w:val="nil"/>
            </w:tcBorders>
          </w:tcPr>
          <w:p>
            <w:pPr>
              <w:framePr w:w="9639" w:h="6917" w:hRule="exact" w:wrap="around" w:vAnchor="page" w:hAnchor="page" w:xAlign="center" w:y="6408" w:anchorLock="1"/>
              <w:spacing w:before="440" w:after="160"/>
              <w:jc w:val="center"/>
              <w:textAlignment w:val="center"/>
              <w:rPr>
                <w:rFonts w:ascii="Times New Roman" w:hAnsi="Times New Roman" w:eastAsia="宋体" w:cs="Times New Roman"/>
                <w:kern w:val="0"/>
                <w:sz w:val="24"/>
                <w:szCs w:val="28"/>
              </w:rPr>
            </w:pPr>
            <w:r>
              <w:rPr>
                <w:rFonts w:ascii="Times New Roman" w:hAnsi="Times New Roman" w:eastAsia="宋体" w:cs="Times New Roman"/>
                <w:kern w:val="0"/>
                <w:sz w:val="24"/>
                <w:szCs w:val="28"/>
              </w:rPr>
              <mc:AlternateContent>
                <mc:Choice Requires="wps">
                  <w:drawing>
                    <wp:anchor distT="0" distB="0" distL="114300" distR="114300" simplePos="0" relativeHeight="251665408" behindDoc="1" locked="1" layoutInCell="1" allowOverlap="1">
                      <wp:simplePos x="0" y="0"/>
                      <wp:positionH relativeFrom="column">
                        <wp:posOffset>2200910</wp:posOffset>
                      </wp:positionH>
                      <wp:positionV relativeFrom="paragraph">
                        <wp:posOffset>4281805</wp:posOffset>
                      </wp:positionV>
                      <wp:extent cx="1905000" cy="254000"/>
                      <wp:effectExtent l="0" t="0" r="0" b="0"/>
                      <wp:wrapNone/>
                      <wp:docPr id="10" name="矩形 10"/>
                      <wp:cNvGraphicFramePr/>
                      <a:graphic xmlns:a="http://schemas.openxmlformats.org/drawingml/2006/main">
                        <a:graphicData uri="http://schemas.microsoft.com/office/word/2010/wordprocessingShape">
                          <wps:wsp>
                            <wps:cNvSpPr/>
                            <wps:spPr>
                              <a:xfrm>
                                <a:off x="0" y="0"/>
                                <a:ext cx="1905000" cy="254000"/>
                              </a:xfrm>
                              <a:prstGeom prst="rect">
                                <a:avLst/>
                              </a:prstGeom>
                              <a:solidFill>
                                <a:srgbClr val="FFFFFF"/>
                              </a:solidFill>
                              <a:ln w="9525">
                                <a:noFill/>
                              </a:ln>
                              <a:effectLst/>
                            </wps:spPr>
                            <wps:bodyPr upright="1"/>
                          </wps:wsp>
                        </a:graphicData>
                      </a:graphic>
                    </wp:anchor>
                  </w:drawing>
                </mc:Choice>
                <mc:Fallback>
                  <w:pict>
                    <v:rect id="_x0000_s1026" o:spid="_x0000_s1026" o:spt="1" style="position:absolute;left:0pt;margin-left:173.3pt;margin-top:337.15pt;height:20pt;width:150pt;z-index:-251651072;mso-width-relative:page;mso-height-relative:page;" fillcolor="#FFFFFF" filled="t" stroked="f" coordsize="21600,21600" o:gfxdata="UEsDBAoAAAAAAIdO4kAAAAAAAAAAAAAAAAAEAAAAZHJzL1BLAwQUAAAACACHTuJA39f34NcAAAAL&#10;AQAADwAAAGRycy9kb3ducmV2LnhtbE2PwU7DMAyG70i8Q2QkbiwpHRmUujsg7QQc2JC4ek3WVjRO&#10;adKtvD2Byzj696ffn8v17HpxtGPoPCNkCwXCcu1Nxw3C+25zcw8iRGJDvWeL8G0DrKvLi5IK40/8&#10;Zo/b2IhUwqEghDbGoZAy1K11FBZ+sJx2Bz86imkcG2lGOqVy18tbpbR01HG60NJgn1pbf24nh0B6&#10;ab5eD/nL7nnS9NDManP3oRCvrzL1CCLaOZ5h+NVP6lAlp72f2ATRI+RLrROKoFfLHEQi9F+yR1hl&#10;KZFVKf//UP0AUEsDBBQAAAAIAIdO4kDIzcz8oAEAACoDAAAOAAAAZHJzL2Uyb0RvYy54bWytUs1u&#10;2zAMvg/YOwi6L3aCZliNOD20yC5DV6DdAyiyZAvQH0g1Tp6mwG57iD3OsNcopbhZ196K+iCTIvWR&#10;30euLvbOsp0CNMG3fD6rOVNehs74vuU/7jafvnCGSfhO2OBVyw8K+cX644fVGBu1CEOwnQJGIB6b&#10;MbZ8SCk2VYVyUE7gLETlKagDOJHIhb7qQIyE7my1qOvP1RigixCkQqTbq2OQrwu+1kqm71qjSsy2&#10;nHpL5YRybvNZrVei6UHEwcipDfGGLpwwnoqeoK5EEuwezCsoZyQEDDrNZHBV0NpIVTgQm3n9gs3t&#10;IKIqXEgcjCeZ8P1g5fXuBpjpaHYkjxeOZvT34def3z8ZXZA6Y8SGkm7jDUwekpmp7jW4/CcSbF8U&#10;PZwUVfvEJF3Oz+tlXROypNhieZZtgqn+vY6A6asKjmWj5UATK0KK3TdMx9SnlFwMgzXdxlhbHOi3&#10;lxbYTtB0N+Wb0P9Ls56NLT9fLpYF2Yf8/ghtfcZRZVGmepnwkWK2tqE7kED3EUw/UH/zUiBHaCCF&#10;yLQ8eeLPfbKfr/j6E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BAEAABbQ29udGVudF9UeXBlc10ueG1sUEsBAhQACgAAAAAAh07iQAAAAAAAAAAA&#10;AAAAAAYAAAAAAAAAAAAQAAAA8gIAAF9yZWxzL1BLAQIUABQAAAAIAIdO4kCKFGY80QAAAJQBAAAL&#10;AAAAAAAAAAEAIAAAABYDAABfcmVscy8ucmVsc1BLAQIUAAoAAAAAAIdO4kAAAAAAAAAAAAAAAAAE&#10;AAAAAAAAAAAAEAAAAAAAAABkcnMvUEsBAhQAFAAAAAgAh07iQN/X9+DXAAAACwEAAA8AAAAAAAAA&#10;AQAgAAAAIgAAAGRycy9kb3ducmV2LnhtbFBLAQIUABQAAAAIAIdO4kDIzcz8oAEAACoDAAAOAAAA&#10;AAAAAAEAIAAAACYBAABkcnMvZTJvRG9jLnhtbFBLBQYAAAAABgAGAFkBAAA4BQAAAAA=&#10;">
                      <v:fill on="t" focussize="0,0"/>
                      <v:stroke on="f"/>
                      <v:imagedata o:title=""/>
                      <o:lock v:ext="edit" aspectratio="f"/>
                      <w10:anchorlock/>
                    </v:rect>
                  </w:pict>
                </mc:Fallback>
              </mc:AlternateContent>
            </w:r>
            <w:r>
              <w:rPr>
                <w:rFonts w:ascii="Times New Roman" w:hAnsi="Times New Roman" w:eastAsia="宋体" w:cs="Times New Roman"/>
                <w:kern w:val="0"/>
                <w:sz w:val="24"/>
                <w:szCs w:val="28"/>
              </w:rPr>
              <w:t>（</w:t>
            </w:r>
            <w:r>
              <w:rPr>
                <w:rFonts w:hint="eastAsia" w:ascii="Times New Roman" w:hAnsi="Times New Roman" w:eastAsia="宋体" w:cs="Times New Roman"/>
                <w:kern w:val="0"/>
                <w:sz w:val="24"/>
                <w:szCs w:val="28"/>
                <w:lang w:val="en-US" w:eastAsia="zh-CN"/>
              </w:rPr>
              <w:t>征求意见</w:t>
            </w:r>
            <w:r>
              <w:rPr>
                <w:rFonts w:ascii="Times New Roman" w:hAnsi="Times New Roman" w:eastAsia="宋体" w:cs="Times New Roman"/>
                <w:kern w:val="0"/>
                <w:sz w:val="24"/>
                <w:szCs w:val="28"/>
              </w:rPr>
              <w:t>稿）</w:t>
            </w:r>
          </w:p>
          <w:p>
            <w:pPr>
              <w:framePr w:w="9639" w:h="6917" w:hRule="exact" w:wrap="around" w:vAnchor="page" w:hAnchor="page" w:xAlign="center" w:y="6408" w:anchorLock="1"/>
              <w:spacing w:before="440" w:after="160"/>
              <w:jc w:val="center"/>
              <w:textAlignment w:val="center"/>
              <w:rPr>
                <w:rFonts w:ascii="Times New Roman" w:hAnsi="Times New Roman" w:eastAsia="宋体" w:cs="Times New Roman"/>
                <w:kern w:val="0"/>
                <w:sz w:val="24"/>
                <w:szCs w:val="28"/>
              </w:rPr>
            </w:pPr>
            <w:r>
              <w:rPr>
                <w:rFonts w:ascii="Times New Roman" w:hAnsi="Times New Roman" w:eastAsia="宋体" w:cs="Times New Roman"/>
                <w:kern w:val="0"/>
                <w:sz w:val="24"/>
                <w:szCs w:val="28"/>
              </w:rPr>
              <w:t>在提交反馈意见时，请将您知道的相关专利连同支持性文件一并附上。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855" w:type="dxa"/>
            <w:tcBorders>
              <w:top w:val="nil"/>
              <w:left w:val="nil"/>
              <w:bottom w:val="nil"/>
              <w:right w:val="nil"/>
            </w:tcBorders>
          </w:tcPr>
          <w:p>
            <w:pPr>
              <w:framePr w:w="9639" w:h="6917" w:hRule="exact" w:wrap="around" w:vAnchor="page" w:hAnchor="page" w:xAlign="center" w:y="6408" w:anchorLock="1"/>
              <w:spacing w:before="180" w:after="160" w:line="180" w:lineRule="exact"/>
              <w:jc w:val="center"/>
              <w:textAlignment w:val="center"/>
              <w:rPr>
                <w:rFonts w:ascii="Times New Roman" w:hAnsi="Times New Roman" w:eastAsia="宋体" w:cs="Times New Roman"/>
                <w:kern w:val="0"/>
                <w:szCs w:val="28"/>
              </w:rPr>
            </w:pPr>
          </w:p>
        </w:tc>
      </w:tr>
    </w:tbl>
    <w:p>
      <w:pPr>
        <w:framePr w:w="3997" w:h="471" w:hRule="exact" w:vSpace="181" w:wrap="around" w:vAnchor="text" w:hAnchor="page" w:x="1382" w:y="13521" w:anchorLock="1"/>
        <w:widowControl/>
        <w:jc w:val="left"/>
        <w:rPr>
          <w:rFonts w:ascii="Times New Roman" w:hAnsi="Times New Roman" w:eastAsia="黑体" w:cs="Times New Roman"/>
          <w:kern w:val="0"/>
          <w:sz w:val="28"/>
          <w:szCs w:val="20"/>
        </w:rPr>
      </w:pPr>
      <w:bookmarkStart w:id="1" w:name="FY"/>
      <w:r>
        <w:rPr>
          <w:rFonts w:ascii="Times New Roman" w:hAnsi="Times New Roman" w:eastAsia="黑体" w:cs="Times New Roman"/>
          <w:kern w:val="0"/>
          <w:sz w:val="28"/>
          <w:szCs w:val="20"/>
        </w:rPr>
        <w:fldChar w:fldCharType="begin">
          <w:ffData>
            <w:name w:val="FY"/>
            <w:enabled w:val="0"/>
            <w:calcOnExit w:val="0"/>
            <w:textInput>
              <w:default w:val="2018"/>
              <w:maxLength w:val="4"/>
            </w:textInput>
          </w:ffData>
        </w:fldChar>
      </w:r>
      <w:r>
        <w:rPr>
          <w:rFonts w:ascii="Times New Roman" w:hAnsi="Times New Roman" w:eastAsia="黑体" w:cs="Times New Roman"/>
          <w:kern w:val="0"/>
          <w:sz w:val="28"/>
          <w:szCs w:val="20"/>
        </w:rPr>
        <w:instrText xml:space="preserve">FORMTEXT</w:instrText>
      </w:r>
      <w:r>
        <w:rPr>
          <w:rFonts w:ascii="Times New Roman" w:hAnsi="Times New Roman" w:eastAsia="黑体" w:cs="Times New Roman"/>
          <w:kern w:val="0"/>
          <w:sz w:val="28"/>
          <w:szCs w:val="20"/>
        </w:rPr>
        <w:fldChar w:fldCharType="separate"/>
      </w:r>
      <w:r>
        <w:rPr>
          <w:rFonts w:ascii="Times New Roman" w:hAnsi="Times New Roman" w:eastAsia="黑体" w:cs="Times New Roman"/>
          <w:kern w:val="0"/>
          <w:sz w:val="28"/>
          <w:szCs w:val="20"/>
        </w:rPr>
        <w:t>2018</w:t>
      </w:r>
      <w:r>
        <w:rPr>
          <w:rFonts w:ascii="Times New Roman" w:hAnsi="Times New Roman" w:eastAsia="黑体" w:cs="Times New Roman"/>
          <w:kern w:val="0"/>
          <w:sz w:val="28"/>
          <w:szCs w:val="20"/>
        </w:rPr>
        <w:fldChar w:fldCharType="end"/>
      </w:r>
      <w:bookmarkEnd w:id="1"/>
      <w:r>
        <w:rPr>
          <w:rFonts w:ascii="Times New Roman" w:hAnsi="Times New Roman" w:eastAsia="黑体" w:cs="Times New Roman"/>
          <w:kern w:val="0"/>
          <w:sz w:val="28"/>
          <w:szCs w:val="20"/>
        </w:rPr>
        <w:t xml:space="preserve"> - </w:t>
      </w:r>
      <w:r>
        <w:rPr>
          <w:rFonts w:ascii="Times New Roman" w:hAnsi="Times New Roman" w:eastAsia="黑体" w:cs="Times New Roman"/>
          <w:kern w:val="0"/>
          <w:sz w:val="28"/>
          <w:szCs w:val="20"/>
        </w:rPr>
        <w:fldChar w:fldCharType="begin">
          <w:ffData>
            <w:name w:val="FM"/>
            <w:enabled/>
            <w:calcOnExit w:val="0"/>
            <w:textInput>
              <w:default w:val="XX"/>
              <w:maxLength w:val="2"/>
            </w:textInput>
          </w:ffData>
        </w:fldChar>
      </w:r>
      <w:r>
        <w:rPr>
          <w:rFonts w:ascii="Times New Roman" w:hAnsi="Times New Roman" w:eastAsia="黑体" w:cs="Times New Roman"/>
          <w:kern w:val="0"/>
          <w:sz w:val="28"/>
          <w:szCs w:val="20"/>
        </w:rPr>
        <w:instrText xml:space="preserve"> FORMTEXT </w:instrText>
      </w:r>
      <w:r>
        <w:rPr>
          <w:rFonts w:ascii="Times New Roman" w:hAnsi="Times New Roman" w:eastAsia="黑体" w:cs="Times New Roman"/>
          <w:kern w:val="0"/>
          <w:sz w:val="28"/>
          <w:szCs w:val="20"/>
        </w:rPr>
        <w:fldChar w:fldCharType="separate"/>
      </w:r>
      <w:r>
        <w:rPr>
          <w:rFonts w:ascii="Times New Roman" w:hAnsi="Times New Roman" w:eastAsia="黑体" w:cs="Times New Roman"/>
          <w:kern w:val="0"/>
          <w:sz w:val="28"/>
          <w:szCs w:val="20"/>
        </w:rPr>
        <w:t>XX</w:t>
      </w:r>
      <w:r>
        <w:rPr>
          <w:rFonts w:ascii="Times New Roman" w:hAnsi="Times New Roman" w:eastAsia="黑体" w:cs="Times New Roman"/>
          <w:kern w:val="0"/>
          <w:sz w:val="28"/>
          <w:szCs w:val="20"/>
        </w:rPr>
        <w:fldChar w:fldCharType="end"/>
      </w:r>
      <w:r>
        <w:rPr>
          <w:rFonts w:ascii="Times New Roman" w:hAnsi="Times New Roman" w:eastAsia="黑体" w:cs="Times New Roman"/>
          <w:kern w:val="0"/>
          <w:sz w:val="28"/>
          <w:szCs w:val="20"/>
        </w:rPr>
        <w:t xml:space="preserve"> - </w:t>
      </w:r>
      <w:bookmarkStart w:id="2" w:name="FD"/>
      <w:r>
        <w:rPr>
          <w:rFonts w:ascii="Times New Roman" w:hAnsi="Times New Roman" w:eastAsia="黑体" w:cs="Times New Roman"/>
          <w:kern w:val="0"/>
          <w:sz w:val="28"/>
          <w:szCs w:val="20"/>
        </w:rPr>
        <w:fldChar w:fldCharType="begin">
          <w:ffData>
            <w:name w:val="FD"/>
            <w:enabled/>
            <w:calcOnExit w:val="0"/>
            <w:textInput>
              <w:default w:val="XX"/>
              <w:maxLength w:val="2"/>
            </w:textInput>
          </w:ffData>
        </w:fldChar>
      </w:r>
      <w:r>
        <w:rPr>
          <w:rFonts w:ascii="Times New Roman" w:hAnsi="Times New Roman" w:eastAsia="黑体" w:cs="Times New Roman"/>
          <w:kern w:val="0"/>
          <w:sz w:val="28"/>
          <w:szCs w:val="20"/>
        </w:rPr>
        <w:instrText xml:space="preserve"> FORMTEXT </w:instrText>
      </w:r>
      <w:r>
        <w:rPr>
          <w:rFonts w:ascii="Times New Roman" w:hAnsi="Times New Roman" w:eastAsia="黑体" w:cs="Times New Roman"/>
          <w:kern w:val="0"/>
          <w:sz w:val="28"/>
          <w:szCs w:val="20"/>
        </w:rPr>
        <w:fldChar w:fldCharType="separate"/>
      </w:r>
      <w:r>
        <w:rPr>
          <w:rFonts w:ascii="Times New Roman" w:hAnsi="Times New Roman" w:eastAsia="黑体" w:cs="Times New Roman"/>
          <w:kern w:val="0"/>
          <w:sz w:val="28"/>
          <w:szCs w:val="20"/>
        </w:rPr>
        <w:t>XX</w:t>
      </w:r>
      <w:r>
        <w:rPr>
          <w:rFonts w:ascii="Times New Roman" w:hAnsi="Times New Roman" w:eastAsia="黑体" w:cs="Times New Roman"/>
          <w:kern w:val="0"/>
          <w:sz w:val="28"/>
          <w:szCs w:val="20"/>
        </w:rPr>
        <w:fldChar w:fldCharType="end"/>
      </w:r>
      <w:bookmarkEnd w:id="2"/>
      <w:r>
        <w:rPr>
          <w:rFonts w:ascii="Times New Roman" w:hAnsi="Times New Roman" w:eastAsia="黑体" w:cs="Times New Roman"/>
          <w:kern w:val="0"/>
          <w:sz w:val="28"/>
          <w:szCs w:val="20"/>
        </w:rPr>
        <w:t>发布</w:t>
      </w:r>
      <w:r>
        <w:rPr>
          <w:rFonts w:ascii="Times New Roman" w:hAnsi="Times New Roman" w:eastAsia="黑体" w:cs="Times New Roman"/>
          <w:kern w:val="0"/>
          <w:sz w:val="28"/>
          <w:szCs w:val="20"/>
        </w:rPr>
        <mc:AlternateContent>
          <mc:Choice Requires="wps">
            <w:drawing>
              <wp:anchor distT="0" distB="0" distL="114300" distR="114300" simplePos="0" relativeHeight="251666432" behindDoc="0" locked="1" layoutInCell="1" allowOverlap="1">
                <wp:simplePos x="0" y="0"/>
                <wp:positionH relativeFrom="column">
                  <wp:posOffset>-635</wp:posOffset>
                </wp:positionH>
                <wp:positionV relativeFrom="page">
                  <wp:posOffset>9251315</wp:posOffset>
                </wp:positionV>
                <wp:extent cx="6120130" cy="0"/>
                <wp:effectExtent l="0" t="0" r="13970" b="19050"/>
                <wp:wrapNone/>
                <wp:docPr id="8" name="直接连接符 8"/>
                <wp:cNvGraphicFramePr/>
                <a:graphic xmlns:a="http://schemas.openxmlformats.org/drawingml/2006/main">
                  <a:graphicData uri="http://schemas.microsoft.com/office/word/2010/wordprocessingShape">
                    <wps:wsp>
                      <wps:cNvCnPr/>
                      <wps:spPr>
                        <a:xfrm>
                          <a:off x="0" y="0"/>
                          <a:ext cx="6120130" cy="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0.05pt;margin-top:728.45pt;height:0pt;width:481.9pt;mso-position-vertical-relative:page;z-index:251666432;mso-width-relative:page;mso-height-relative:page;" filled="f" stroked="t" coordsize="21600,21600" o:gfxdata="UEsDBAoAAAAAAIdO4kAAAAAAAAAAAAAAAAAEAAAAZHJzL1BLAwQUAAAACACHTuJAYy0v89cAAAAL&#10;AQAADwAAAGRycy9kb3ducmV2LnhtbE2PPU/DQAyGdyT+w8lILFV7lxYCDbl0ALKxtIBY3cQkETlf&#10;mrt+wK/HDAhGv370+nG+OrleHWgMnWcLycyAIq583XFj4eW5nN6CChG5xt4zWfikAKvi/CzHrPZH&#10;XtNhExslJRwytNDGOGRah6olh2HmB2LZvfvRYZRxbHQ94lHKXa/nxqTaYcdyocWB7luqPjZ7ZyGU&#10;r7QrvybVxLwtGk/z3cPTI1p7eZGYO1CRTvEPhh99UYdCnLZ+z3VQvYVpIqDEV9fpEpQAy3RxA2r7&#10;G+ki1/9/KL4BUEsDBBQAAAAIAIdO4kA9XNjJ1QEAAJgDAAAOAAAAZHJzL2Uyb0RvYy54bWytU0uO&#10;EzEQ3SNxB8t70knQjIZWOrOYMGwQRAIOUPGn25J/cpl0cgkugMQOVizZcxuGY1B2MmFm2CBEFpUq&#10;u+pVvefqxeXOWbZVCU3wHZ9NppwpL4I0vu/4u7fXTy44wwxegg1edXyvkF8uHz9ajLFV8zAEK1Vi&#10;BOKxHWPHh5xj2zQoBuUAJyEqT5c6JAeZwtQ3MsFI6M428+n0vBlDkjEFoRDpdHW45MuKr7US+bXW&#10;qDKzHafZcrWp2k2xzXIBbZ8gDkYcx4B/mMKB8dT0BLWCDOx9Mn9AOSNSwKDzRATXBK2NUJUDsZlN&#10;H7B5M0BUlQuJg/EkE/4/WPFqu07MyI7TQ3lw9EQ3H7/9+PD55/dPZG++fmEXRaQxYku5V36djhHG&#10;dSqMdzq58k9c2K4Kuz8Jq3aZCTo8nxG7p6S/uL1rfhfGhPmFCo4Vp+PW+MIZWti+xEzNKPU2pRxb&#10;z8aOPzubnxEc0MpoC5lcF4kE+r7WYrBGXhtrSwWmfnNlE9tCWYL6K5QI915aabICHA559eqwHoMC&#10;+dxLlveR5PG0x7yM4JTkzCpa++IRILQZjP2bTGptfSlQdUWPPIvGB1WLtwlyX8VuSkTPXyc+rmrZ&#10;r7sx+Xc/qOU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Yy0v89cAAAALAQAADwAAAAAAAAABACAA&#10;AAAiAAAAZHJzL2Rvd25yZXYueG1sUEsBAhQAFAAAAAgAh07iQD1c2MnVAQAAmAMAAA4AAAAAAAAA&#10;AQAgAAAAJgEAAGRycy9lMm9Eb2MueG1sUEsFBgAAAAAGAAYAWQEAAG0FAAAAAA==&#10;">
                <v:fill on="f" focussize="0,0"/>
                <v:stroke color="#000000" joinstyle="round"/>
                <v:imagedata o:title=""/>
                <o:lock v:ext="edit" aspectratio="f"/>
                <w10:anchorlock/>
              </v:line>
            </w:pict>
          </mc:Fallback>
        </mc:AlternateContent>
      </w:r>
    </w:p>
    <w:p>
      <w:pPr>
        <w:framePr w:w="3997" w:h="471" w:hRule="exact" w:vSpace="181" w:wrap="around" w:vAnchor="text" w:hAnchor="page" w:x="7089" w:y="13509" w:anchorLock="1"/>
        <w:widowControl/>
        <w:jc w:val="right"/>
        <w:rPr>
          <w:rFonts w:ascii="Times New Roman" w:hAnsi="Times New Roman" w:eastAsia="黑体" w:cs="Times New Roman"/>
          <w:kern w:val="0"/>
          <w:sz w:val="28"/>
          <w:szCs w:val="20"/>
        </w:rPr>
      </w:pPr>
      <w:bookmarkStart w:id="3" w:name="SY"/>
      <w:r>
        <w:rPr>
          <w:rFonts w:ascii="Times New Roman" w:hAnsi="Times New Roman" w:eastAsia="黑体" w:cs="Times New Roman"/>
          <w:kern w:val="0"/>
          <w:sz w:val="28"/>
          <w:szCs w:val="20"/>
        </w:rPr>
        <w:fldChar w:fldCharType="begin">
          <w:ffData>
            <w:name w:val="SY"/>
            <w:enabled/>
            <w:calcOnExit w:val="0"/>
            <w:textInput>
              <w:default w:val="XXXX"/>
              <w:maxLength w:val="4"/>
            </w:textInput>
          </w:ffData>
        </w:fldChar>
      </w:r>
      <w:r>
        <w:rPr>
          <w:rFonts w:ascii="Times New Roman" w:hAnsi="Times New Roman" w:eastAsia="黑体" w:cs="Times New Roman"/>
          <w:kern w:val="0"/>
          <w:sz w:val="28"/>
          <w:szCs w:val="20"/>
        </w:rPr>
        <w:instrText xml:space="preserve"> FORMTEXT </w:instrText>
      </w:r>
      <w:r>
        <w:rPr>
          <w:rFonts w:ascii="Times New Roman" w:hAnsi="Times New Roman" w:eastAsia="黑体" w:cs="Times New Roman"/>
          <w:kern w:val="0"/>
          <w:sz w:val="28"/>
          <w:szCs w:val="20"/>
        </w:rPr>
        <w:fldChar w:fldCharType="separate"/>
      </w:r>
      <w:r>
        <w:rPr>
          <w:rFonts w:ascii="Times New Roman" w:hAnsi="Times New Roman" w:eastAsia="黑体" w:cs="Times New Roman"/>
          <w:kern w:val="0"/>
          <w:sz w:val="28"/>
          <w:szCs w:val="20"/>
        </w:rPr>
        <w:t>XXXX</w:t>
      </w:r>
      <w:r>
        <w:rPr>
          <w:rFonts w:ascii="Times New Roman" w:hAnsi="Times New Roman" w:eastAsia="黑体" w:cs="Times New Roman"/>
          <w:kern w:val="0"/>
          <w:sz w:val="28"/>
          <w:szCs w:val="20"/>
        </w:rPr>
        <w:fldChar w:fldCharType="end"/>
      </w:r>
      <w:bookmarkEnd w:id="3"/>
      <w:r>
        <w:rPr>
          <w:rFonts w:ascii="Times New Roman" w:hAnsi="Times New Roman" w:eastAsia="黑体" w:cs="Times New Roman"/>
          <w:kern w:val="0"/>
          <w:sz w:val="28"/>
          <w:szCs w:val="20"/>
        </w:rPr>
        <w:t xml:space="preserve"> - </w:t>
      </w:r>
      <w:bookmarkStart w:id="4" w:name="SM"/>
      <w:r>
        <w:rPr>
          <w:rFonts w:ascii="Times New Roman" w:hAnsi="Times New Roman" w:eastAsia="黑体" w:cs="Times New Roman"/>
          <w:kern w:val="0"/>
          <w:sz w:val="28"/>
          <w:szCs w:val="20"/>
        </w:rPr>
        <w:fldChar w:fldCharType="begin">
          <w:ffData>
            <w:name w:val="SM"/>
            <w:enabled/>
            <w:calcOnExit w:val="0"/>
            <w:textInput>
              <w:default w:val="XX"/>
              <w:maxLength w:val="2"/>
            </w:textInput>
          </w:ffData>
        </w:fldChar>
      </w:r>
      <w:r>
        <w:rPr>
          <w:rFonts w:ascii="Times New Roman" w:hAnsi="Times New Roman" w:eastAsia="黑体" w:cs="Times New Roman"/>
          <w:kern w:val="0"/>
          <w:sz w:val="28"/>
          <w:szCs w:val="20"/>
        </w:rPr>
        <w:instrText xml:space="preserve"> FORMTEXT </w:instrText>
      </w:r>
      <w:r>
        <w:rPr>
          <w:rFonts w:ascii="Times New Roman" w:hAnsi="Times New Roman" w:eastAsia="黑体" w:cs="Times New Roman"/>
          <w:kern w:val="0"/>
          <w:sz w:val="28"/>
          <w:szCs w:val="20"/>
        </w:rPr>
        <w:fldChar w:fldCharType="separate"/>
      </w:r>
      <w:r>
        <w:rPr>
          <w:rFonts w:ascii="Times New Roman" w:hAnsi="Times New Roman" w:eastAsia="黑体" w:cs="Times New Roman"/>
          <w:kern w:val="0"/>
          <w:sz w:val="28"/>
          <w:szCs w:val="20"/>
        </w:rPr>
        <w:t>XX</w:t>
      </w:r>
      <w:r>
        <w:rPr>
          <w:rFonts w:ascii="Times New Roman" w:hAnsi="Times New Roman" w:eastAsia="黑体" w:cs="Times New Roman"/>
          <w:kern w:val="0"/>
          <w:sz w:val="28"/>
          <w:szCs w:val="20"/>
        </w:rPr>
        <w:fldChar w:fldCharType="end"/>
      </w:r>
      <w:bookmarkEnd w:id="4"/>
      <w:r>
        <w:rPr>
          <w:rFonts w:ascii="Times New Roman" w:hAnsi="Times New Roman" w:eastAsia="黑体" w:cs="Times New Roman"/>
          <w:kern w:val="0"/>
          <w:sz w:val="28"/>
          <w:szCs w:val="20"/>
        </w:rPr>
        <w:t xml:space="preserve"> - </w:t>
      </w:r>
      <w:bookmarkStart w:id="5" w:name="SD"/>
      <w:r>
        <w:rPr>
          <w:rFonts w:ascii="Times New Roman" w:hAnsi="Times New Roman" w:eastAsia="黑体" w:cs="Times New Roman"/>
          <w:kern w:val="0"/>
          <w:sz w:val="28"/>
          <w:szCs w:val="20"/>
        </w:rPr>
        <w:fldChar w:fldCharType="begin">
          <w:ffData>
            <w:name w:val="SD"/>
            <w:enabled/>
            <w:calcOnExit w:val="0"/>
            <w:textInput>
              <w:default w:val="XX"/>
              <w:maxLength w:val="2"/>
            </w:textInput>
          </w:ffData>
        </w:fldChar>
      </w:r>
      <w:r>
        <w:rPr>
          <w:rFonts w:ascii="Times New Roman" w:hAnsi="Times New Roman" w:eastAsia="黑体" w:cs="Times New Roman"/>
          <w:kern w:val="0"/>
          <w:sz w:val="28"/>
          <w:szCs w:val="20"/>
        </w:rPr>
        <w:instrText xml:space="preserve"> FORMTEXT </w:instrText>
      </w:r>
      <w:r>
        <w:rPr>
          <w:rFonts w:ascii="Times New Roman" w:hAnsi="Times New Roman" w:eastAsia="黑体" w:cs="Times New Roman"/>
          <w:kern w:val="0"/>
          <w:sz w:val="28"/>
          <w:szCs w:val="20"/>
        </w:rPr>
        <w:fldChar w:fldCharType="separate"/>
      </w:r>
      <w:r>
        <w:rPr>
          <w:rFonts w:ascii="Times New Roman" w:hAnsi="Times New Roman" w:eastAsia="黑体" w:cs="Times New Roman"/>
          <w:kern w:val="0"/>
          <w:sz w:val="28"/>
          <w:szCs w:val="20"/>
        </w:rPr>
        <w:t>XX</w:t>
      </w:r>
      <w:r>
        <w:rPr>
          <w:rFonts w:ascii="Times New Roman" w:hAnsi="Times New Roman" w:eastAsia="黑体" w:cs="Times New Roman"/>
          <w:kern w:val="0"/>
          <w:sz w:val="28"/>
          <w:szCs w:val="20"/>
        </w:rPr>
        <w:fldChar w:fldCharType="end"/>
      </w:r>
      <w:bookmarkEnd w:id="5"/>
      <w:r>
        <w:rPr>
          <w:rFonts w:ascii="Times New Roman" w:hAnsi="Times New Roman" w:eastAsia="黑体" w:cs="Times New Roman"/>
          <w:kern w:val="0"/>
          <w:sz w:val="28"/>
          <w:szCs w:val="20"/>
        </w:rPr>
        <w:t>实施</w:t>
      </w:r>
    </w:p>
    <w:p>
      <w:pPr>
        <w:framePr w:w="7938" w:h="1134" w:hRule="exact" w:hSpace="125" w:vSpace="181" w:wrap="around" w:vAnchor="page" w:hAnchor="page" w:x="2150" w:y="15310" w:anchorLock="1"/>
        <w:widowControl/>
        <w:spacing w:line="0" w:lineRule="atLeast"/>
        <w:jc w:val="center"/>
        <w:rPr>
          <w:rFonts w:hint="eastAsia" w:ascii="黑体" w:hAnsi="黑体" w:eastAsia="黑体" w:cs="黑体"/>
          <w:spacing w:val="20"/>
          <w:w w:val="135"/>
          <w:kern w:val="0"/>
          <w:sz w:val="28"/>
          <w:szCs w:val="20"/>
        </w:rPr>
      </w:pPr>
      <w:bookmarkStart w:id="6" w:name="fm"/>
      <w:r>
        <w:rPr>
          <w:rFonts w:hint="eastAsia" w:ascii="黑体" w:hAnsi="黑体" w:eastAsia="黑体" w:cs="黑体"/>
          <w:spacing w:val="20"/>
          <w:kern w:val="0"/>
          <w:sz w:val="28"/>
          <w:szCs w:val="20"/>
        </w:rPr>
        <mc:AlternateContent>
          <mc:Choice Requires="wps">
            <w:drawing>
              <wp:anchor distT="0" distB="0" distL="114300" distR="114300" simplePos="0" relativeHeight="251664384" behindDoc="1" locked="0" layoutInCell="1" allowOverlap="1">
                <wp:simplePos x="0" y="0"/>
                <wp:positionH relativeFrom="column">
                  <wp:posOffset>1810385</wp:posOffset>
                </wp:positionH>
                <wp:positionV relativeFrom="paragraph">
                  <wp:posOffset>-3942715</wp:posOffset>
                </wp:positionV>
                <wp:extent cx="1270000" cy="304800"/>
                <wp:effectExtent l="0" t="0" r="6350" b="0"/>
                <wp:wrapNone/>
                <wp:docPr id="7" name="矩形 7"/>
                <wp:cNvGraphicFramePr/>
                <a:graphic xmlns:a="http://schemas.openxmlformats.org/drawingml/2006/main">
                  <a:graphicData uri="http://schemas.microsoft.com/office/word/2010/wordprocessingShape">
                    <wps:wsp>
                      <wps:cNvSpPr/>
                      <wps:spPr>
                        <a:xfrm>
                          <a:off x="0" y="0"/>
                          <a:ext cx="1270000" cy="304800"/>
                        </a:xfrm>
                        <a:prstGeom prst="rect">
                          <a:avLst/>
                        </a:prstGeom>
                        <a:solidFill>
                          <a:srgbClr val="FFFFFF"/>
                        </a:solidFill>
                        <a:ln w="9525">
                          <a:noFill/>
                        </a:ln>
                        <a:effectLst/>
                      </wps:spPr>
                      <wps:bodyPr upright="1"/>
                    </wps:wsp>
                  </a:graphicData>
                </a:graphic>
              </wp:anchor>
            </w:drawing>
          </mc:Choice>
          <mc:Fallback>
            <w:pict>
              <v:rect id="_x0000_s1026" o:spid="_x0000_s1026" o:spt="1" style="position:absolute;left:0pt;margin-left:142.55pt;margin-top:-310.45pt;height:24pt;width:100pt;z-index:-251652096;mso-width-relative:page;mso-height-relative:page;" fillcolor="#FFFFFF" filled="t" stroked="f" coordsize="21600,21600" o:gfxdata="UEsDBAoAAAAAAIdO4kAAAAAAAAAAAAAAAAAEAAAAZHJzL1BLAwQUAAAACACHTuJA+bXu1tkAAAAN&#10;AQAADwAAAGRycy9kb3ducmV2LnhtbE2PwU7DMAyG70i8Q2QkblvSspW1NN0BaSfgwIbE1WuytqJx&#10;SpNu5e0xXODo359+fy63s+vF2Y6h86QhWSoQlmpvOmo0vB12iw2IEJEM9p6shi8bYFtdX5VYGH+h&#10;V3vex0ZwCYUCNbQxDoWUoW6tw7D0gyXenfzoMPI4NtKMeOFy18tUqUw67IgvtDjYx9bWH/vJacBs&#10;ZT5fTnfPh6cpw7yZ1W79rrS+vUnUA4ho5/gHw48+q0PFTkc/kQmi15Bu1gmjGhZZqnIQjKx+oyNH&#10;6/s0B1mV8v8X1TdQSwMEFAAAAAgAh07iQONDgTigAQAAKAMAAA4AAABkcnMvZTJvRG9jLnhtbK1S&#10;wW4bIRC9R8o/IO71rt2kTlde55DIvVRtpLQfgFnYRQIGDcRrf02k3PoR/Zyqv5EBb920vVXhADPM&#10;8GbeG1bXe2fZTmE04Fs+n9WcKS+hM75v+dcvmzdXnMUkfCcseNXyg4r8en1+thpDoxYwgO0UMgLx&#10;sRlDy4eUQlNVUQ7KiTiDoDwFNaATiVzsqw7FSOjOVou6fleNgF1AkCpGur09Bvm64GutZPqsdVSJ&#10;2ZZTb6nsWPZt3qv1SjQ9ijAYObUh/qMLJ4ynoieoW5EEe0DzD5QzEiGCTjMJrgKtjVSFA7GZ13+x&#10;uR9EUIULiRPDSab4erDy0+4OmelavuTMC0cj+vn47cf3J7bM2owhNpRyH+5w8iKZmeheo8snUWD7&#10;oufhpKfaJybpcr5Y1rQ4kxR7W19ckU0w1e/XAWP6oMCxbLQcaV5FRrH7GNMx9VdKLhbBmm5jrC0O&#10;9tsbi2wnaLabsib0P9KsZ2PL318uLguyh/z+CG19xlHlm0z1MuEjxWxtoTuQPA8BTT9Qf/NSIEdo&#10;HIXI9HXyvF/6ZL/84Otn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EgQAAFtDb250ZW50X1R5cGVzXS54bWxQSwECFAAKAAAAAACHTuJAAAAAAAAA&#10;AAAAAAAABgAAAAAAAAAAABAAAAD0AgAAX3JlbHMvUEsBAhQAFAAAAAgAh07iQIoUZjzRAAAAlAEA&#10;AAsAAAAAAAAAAQAgAAAAGAMAAF9yZWxzLy5yZWxzUEsBAhQACgAAAAAAh07iQAAAAAAAAAAAAAAA&#10;AAQAAAAAAAAAAAAQAAAAAAAAAGRycy9QSwECFAAUAAAACACHTuJA+bXu1tkAAAANAQAADwAAAAAA&#10;AAABACAAAAAiAAAAZHJzL2Rvd25yZXYueG1sUEsBAhQAFAAAAAgAh07iQONDgTigAQAAKAMAAA4A&#10;AAAAAAAAAQAgAAAAKAEAAGRycy9lMm9Eb2MueG1sUEsFBgAAAAAGAAYAWQEAADoFAAAAAA==&#10;">
                <v:fill on="t" focussize="0,0"/>
                <v:stroke on="f"/>
                <v:imagedata o:title=""/>
                <o:lock v:ext="edit" aspectratio="f"/>
              </v:rect>
            </w:pict>
          </mc:Fallback>
        </mc:AlternateContent>
      </w:r>
      <w:r>
        <w:rPr>
          <w:rFonts w:hint="eastAsia" w:ascii="黑体" w:hAnsi="黑体" w:eastAsia="黑体" w:cs="黑体"/>
          <w:spacing w:val="20"/>
          <w:kern w:val="0"/>
          <w:sz w:val="28"/>
          <w:szCs w:val="20"/>
        </w:rPr>
        <mc:AlternateContent>
          <mc:Choice Requires="wps">
            <w:drawing>
              <wp:anchor distT="0" distB="0" distL="114300" distR="114300" simplePos="0" relativeHeight="251663360" behindDoc="1" locked="0" layoutInCell="1" allowOverlap="1">
                <wp:simplePos x="0" y="0"/>
                <wp:positionH relativeFrom="column">
                  <wp:posOffset>4413885</wp:posOffset>
                </wp:positionH>
                <wp:positionV relativeFrom="paragraph">
                  <wp:posOffset>-7435215</wp:posOffset>
                </wp:positionV>
                <wp:extent cx="1143000" cy="228600"/>
                <wp:effectExtent l="0" t="0" r="0" b="0"/>
                <wp:wrapNone/>
                <wp:docPr id="6" name="矩形 6"/>
                <wp:cNvGraphicFramePr/>
                <a:graphic xmlns:a="http://schemas.openxmlformats.org/drawingml/2006/main">
                  <a:graphicData uri="http://schemas.microsoft.com/office/word/2010/wordprocessingShape">
                    <wps:wsp>
                      <wps:cNvSpPr/>
                      <wps:spPr>
                        <a:xfrm>
                          <a:off x="0" y="0"/>
                          <a:ext cx="1143000" cy="228600"/>
                        </a:xfrm>
                        <a:prstGeom prst="rect">
                          <a:avLst/>
                        </a:prstGeom>
                        <a:solidFill>
                          <a:srgbClr val="FFFFFF"/>
                        </a:solidFill>
                        <a:ln w="9525">
                          <a:noFill/>
                        </a:ln>
                        <a:effectLst/>
                      </wps:spPr>
                      <wps:bodyPr upright="1"/>
                    </wps:wsp>
                  </a:graphicData>
                </a:graphic>
              </wp:anchor>
            </w:drawing>
          </mc:Choice>
          <mc:Fallback>
            <w:pict>
              <v:rect id="_x0000_s1026" o:spid="_x0000_s1026" o:spt="1" style="position:absolute;left:0pt;margin-left:347.55pt;margin-top:-585.45pt;height:18pt;width:90pt;z-index:-251653120;mso-width-relative:page;mso-height-relative:page;" fillcolor="#FFFFFF" filled="t" stroked="f" coordsize="21600,21600" o:gfxdata="UEsDBAoAAAAAAIdO4kAAAAAAAAAAAAAAAAAEAAAAZHJzL1BLAwQUAAAACACHTuJA38mKEdoAAAAP&#10;AQAADwAAAGRycy9kb3ducmV2LnhtbE2PwU7DMAyG70i8Q2QkbltStnVraboD0k7AgQ2Jq9d4bUXj&#10;lCbdytuTcYGjf3/6/bnYTrYTZxp861hDMlcgiCtnWq41vB92sw0IH5ANdo5Jwzd52Ja3NwXmxl34&#10;jc77UItYwj5HDU0IfS6lrxqy6OeuJ467kxsshjgOtTQDXmK57eSDUqm02HK80GBPTw1Vn/vRasB0&#10;ab5eT4uXw/OYYlZParf6UFrf3yXqEUSgKfzBcNWP6lBGp6Mb2XjRaUizVRJRDbMkWasMRGQ262t2&#10;/M0WywxkWcj/f5Q/UEsDBBQAAAAIAIdO4kADqWe3oAEAACgDAAAOAAAAZHJzL2Uyb0RvYy54bWyt&#10;Us2OEzEMviPxDlHudH5gq2XU6R5YlQuClZZ9gDSTzERK4sjJdtqnQeLGQ/A4iNfASYeywA0xh4wd&#10;O5/9ffbm5ugsOyiMBnzPm1XNmfISBuPHnj983L245iwm4Qdhwauen1TkN9vnzzZz6FQLE9hBISMQ&#10;H7s59HxKKXRVFeWknIgrCMpTUAM6kcjFsRpQzITubNXW9bqaAYeAIFWMdHt7DvJtwddayfRB66gS&#10;sz2n3lI5sZz7fFbbjehGFGEycmlD/EMXThhPRS9QtyIJ9ojmLyhnJEIEnVYSXAVaG6kKB2LT1H+w&#10;uZ9EUIULiRPDRab4/2Dl+8MdMjP0fM2ZF45G9P3Tl29fP7N11mYOsaOU+3CHixfJzESPGl3+EwV2&#10;LHqeLnqqY2KSLpvm1cu6Jtklxdr2ek02wVS/XgeM6a0Cx7LRc6R5FRnF4V1M59SfKblYBGuGnbG2&#10;ODju31hkB0Gz3ZVvQf8tzXo29/z1VXtVkD3k92do6zOOKmuy1MuEzxSztYfhRPI8BjTjRP01pUCO&#10;0DgKkWV18ryf+mQ/XfDtD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BMEAABbQ29udGVudF9UeXBlc10ueG1sUEsBAhQACgAAAAAAh07iQAAAAAAA&#10;AAAAAAAAAAYAAAAAAAAAAAAQAAAA9QIAAF9yZWxzL1BLAQIUABQAAAAIAIdO4kCKFGY80QAAAJQB&#10;AAALAAAAAAAAAAEAIAAAABkDAABfcmVscy8ucmVsc1BLAQIUAAoAAAAAAIdO4kAAAAAAAAAAAAAA&#10;AAAEAAAAAAAAAAAAEAAAAAAAAABkcnMvUEsBAhQAFAAAAAgAh07iQN/JihHaAAAADwEAAA8AAAAA&#10;AAAAAQAgAAAAIgAAAGRycy9kb3ducmV2LnhtbFBLAQIUABQAAAAIAIdO4kADqWe3oAEAACgDAAAO&#10;AAAAAAAAAAEAIAAAACkBAABkcnMvZTJvRG9jLnhtbFBLBQYAAAAABgAGAFkBAAA7BQAAAAA=&#10;">
                <v:fill on="t" focussize="0,0"/>
                <v:stroke on="f"/>
                <v:imagedata o:title=""/>
                <o:lock v:ext="edit" aspectratio="f"/>
              </v:rect>
            </w:pict>
          </mc:Fallback>
        </mc:AlternateContent>
      </w:r>
      <w:r>
        <w:rPr>
          <w:rFonts w:hint="eastAsia" w:ascii="黑体" w:hAnsi="黑体" w:eastAsia="黑体" w:cs="黑体"/>
          <w:spacing w:val="20"/>
          <w:kern w:val="0"/>
          <w:sz w:val="28"/>
          <w:szCs w:val="20"/>
        </w:rPr>
        <mc:AlternateContent>
          <mc:Choice Requires="wps">
            <w:drawing>
              <wp:anchor distT="0" distB="0" distL="114300" distR="114300" simplePos="0" relativeHeight="251667456" behindDoc="0" locked="0" layoutInCell="1" allowOverlap="1">
                <wp:simplePos x="0" y="0"/>
                <wp:positionH relativeFrom="column">
                  <wp:posOffset>-464820</wp:posOffset>
                </wp:positionH>
                <wp:positionV relativeFrom="paragraph">
                  <wp:posOffset>-7021195</wp:posOffset>
                </wp:positionV>
                <wp:extent cx="6120130" cy="0"/>
                <wp:effectExtent l="0" t="0" r="13970" b="19050"/>
                <wp:wrapNone/>
                <wp:docPr id="9" name="直接连接符 9"/>
                <wp:cNvGraphicFramePr/>
                <a:graphic xmlns:a="http://schemas.openxmlformats.org/drawingml/2006/main">
                  <a:graphicData uri="http://schemas.microsoft.com/office/word/2010/wordprocessingShape">
                    <wps:wsp>
                      <wps:cNvCnPr/>
                      <wps:spPr>
                        <a:xfrm>
                          <a:off x="0" y="0"/>
                          <a:ext cx="6120130" cy="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36.6pt;margin-top:-552.85pt;height:0pt;width:481.9pt;z-index:251667456;mso-width-relative:page;mso-height-relative:page;" filled="f" stroked="t" coordsize="21600,21600" o:gfxdata="UEsDBAoAAAAAAIdO4kAAAAAAAAAAAAAAAAAEAAAAZHJzL1BLAwQUAAAACACHTuJAOyWRoNgAAAAP&#10;AQAADwAAAGRycy9kb3ducmV2LnhtbE2PPU/DMBCGdyT+g3VILFVrJxVtCXE6ANlYKCDWa3IkEfE5&#10;jd0P+PUcS2G7j0fvPZevT65XBxpD59lCMjOgiCtfd9xYeH0ppytQISLX2HsmC18UYF1cXuSY1f7I&#10;z3TYxEZJCIcMLbQxDpnWoWrJYZj5gVh2H350GKUdG12PeJRw1+vUmIV22LFcaHGg+5aqz83eWQjl&#10;G+3K70k1Me/zxlO6e3h6RGuvrxJzByrSKf7B8Ksv6lCI09bvuQ6qtzBdzlNBpUgSc7MEJczq1ixA&#10;bc8zXeT6/x/FD1BLAwQUAAAACACHTuJAmaphQNUBAACYAwAADgAAAGRycy9lMm9Eb2MueG1srVNL&#10;jhMxEN0jcQfLe9JJ0IyYVjqzmDBsEEQCDlDxp9uSf3KZdHIJLoDEDlYs2XMbhmNQdjJhZtggRC+q&#10;q+yqV/VeVy8ud86yrUpogu/4bDLlTHkRpPF9x9+9vX7yjDPM4CXY4FXH9wr55fLxo8UYWzUPQ7BS&#10;JUYgHtsxdnzIObZNg2JQDnASovJ0qUNykClMfSMTjITubDOfTs+bMSQZUxAKkU5Xh0u+rPhaK5Ff&#10;a40qM9txmi1Xm6rdFNssF9D2CeJgxHEM+IcpHBhPTU9QK8jA3ifzB5QzIgUMOk9EcE3Q2ghVORCb&#10;2fQBmzcDRFW5kDgYTzLh/4MVr7brxIzs+AVnHhx9opuP3358+Pzz+yeyN1+/sIsi0hixpdwrv07H&#10;COM6FcY7nVx5Exe2q8LuT8KqXWaCDs9nxO4p6S9u75rfhTFhfqGCY8XpuDW+cIYWti8xUzNKvU0p&#10;x9azkaY9m58RHNDKaAuZXBeJBPq+1mKwRl4ba0sFpn5zZRPbQlmC+hRKhHsvrTRZAQ6HvHp1WI9B&#10;gXzuJcv7SPJ42mNeRnBKcmYVrX3xCBDaDMb+TSa1tr4UqLqiR55F44OqxdsEua9iNyWiz18nPq5q&#10;2a+7Mfl3f6jlL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DslkaDYAAAADwEAAA8AAAAAAAAAAQAg&#10;AAAAIgAAAGRycy9kb3ducmV2LnhtbFBLAQIUABQAAAAIAIdO4kCZqmFA1QEAAJgDAAAOAAAAAAAA&#10;AAEAIAAAACcBAABkcnMvZTJvRG9jLnhtbFBLBQYAAAAABgAGAFkBAABuBQAAAAA=&#10;">
                <v:fill on="f" focussize="0,0"/>
                <v:stroke color="#000000" joinstyle="round"/>
                <v:imagedata o:title=""/>
                <o:lock v:ext="edit" aspectratio="f"/>
              </v:line>
            </w:pict>
          </mc:Fallback>
        </mc:AlternateContent>
      </w:r>
      <w:bookmarkEnd w:id="6"/>
      <w:r>
        <w:rPr>
          <w:rFonts w:hint="eastAsia" w:ascii="黑体" w:hAnsi="黑体" w:eastAsia="黑体" w:cs="黑体"/>
          <w:spacing w:val="20"/>
          <w:w w:val="135"/>
          <w:kern w:val="0"/>
          <w:sz w:val="28"/>
          <w:szCs w:val="28"/>
        </w:rPr>
        <w:fldChar w:fldCharType="begin">
          <w:ffData>
            <w:name w:val="Text1"/>
            <w:enabled w:val="0"/>
            <w:calcOnExit w:val="0"/>
            <w:textInput>
              <w:default w:val="中国香料香精化妆品工业协会"/>
            </w:textInput>
          </w:ffData>
        </w:fldChar>
      </w:r>
      <w:r>
        <w:rPr>
          <w:rFonts w:hint="eastAsia" w:ascii="黑体" w:hAnsi="黑体" w:eastAsia="黑体" w:cs="黑体"/>
          <w:spacing w:val="20"/>
          <w:w w:val="135"/>
          <w:kern w:val="0"/>
          <w:sz w:val="28"/>
          <w:szCs w:val="28"/>
        </w:rPr>
        <w:instrText xml:space="preserve">FORMTEXT</w:instrText>
      </w:r>
      <w:r>
        <w:rPr>
          <w:rFonts w:hint="eastAsia" w:ascii="黑体" w:hAnsi="黑体" w:eastAsia="黑体" w:cs="黑体"/>
          <w:spacing w:val="20"/>
          <w:w w:val="135"/>
          <w:kern w:val="0"/>
          <w:sz w:val="28"/>
          <w:szCs w:val="28"/>
        </w:rPr>
        <w:fldChar w:fldCharType="separate"/>
      </w:r>
      <w:r>
        <w:rPr>
          <w:rFonts w:hint="eastAsia" w:ascii="黑体" w:hAnsi="黑体" w:eastAsia="黑体" w:cs="黑体"/>
          <w:spacing w:val="20"/>
          <w:w w:val="135"/>
          <w:kern w:val="0"/>
          <w:sz w:val="28"/>
          <w:szCs w:val="28"/>
        </w:rPr>
        <w:t>中国香料香精化妆品工业协会</w:t>
      </w:r>
      <w:r>
        <w:rPr>
          <w:rFonts w:hint="eastAsia" w:ascii="黑体" w:hAnsi="黑体" w:eastAsia="黑体" w:cs="黑体"/>
          <w:spacing w:val="20"/>
          <w:w w:val="135"/>
          <w:kern w:val="0"/>
          <w:sz w:val="28"/>
          <w:szCs w:val="28"/>
        </w:rPr>
        <w:fldChar w:fldCharType="end"/>
      </w:r>
      <w:r>
        <w:rPr>
          <w:rFonts w:hint="eastAsia" w:ascii="黑体" w:hAnsi="黑体" w:eastAsia="黑体" w:cs="黑体"/>
          <w:spacing w:val="20"/>
          <w:w w:val="135"/>
          <w:kern w:val="0"/>
          <w:sz w:val="28"/>
          <w:szCs w:val="20"/>
        </w:rPr>
        <w:t>   </w:t>
      </w:r>
      <w:r>
        <w:rPr>
          <w:rFonts w:hint="eastAsia" w:ascii="黑体" w:hAnsi="黑体" w:eastAsia="黑体" w:cs="黑体"/>
          <w:spacing w:val="85"/>
          <w:kern w:val="0"/>
          <w:position w:val="3"/>
          <w:sz w:val="28"/>
          <w:szCs w:val="28"/>
        </w:rPr>
        <w:t>发布</w:t>
      </w:r>
    </w:p>
    <w:p>
      <w:pPr>
        <w:widowControl/>
        <w:tabs>
          <w:tab w:val="center" w:pos="4201"/>
          <w:tab w:val="right" w:leader="dot" w:pos="9298"/>
        </w:tabs>
        <w:autoSpaceDE w:val="0"/>
        <w:autoSpaceDN w:val="0"/>
        <w:rPr>
          <w:rFonts w:ascii="Times New Roman" w:hAnsi="Times New Roman" w:eastAsia="宋体" w:cs="Times New Roman"/>
          <w:kern w:val="0"/>
          <w:szCs w:val="20"/>
        </w:rPr>
        <w:sectPr>
          <w:pgSz w:w="11906" w:h="16838"/>
          <w:pgMar w:top="567" w:right="850" w:bottom="1134" w:left="1418" w:header="0" w:footer="0" w:gutter="0"/>
          <w:pgNumType w:start="1"/>
          <w:cols w:space="720" w:num="1"/>
          <w:docGrid w:type="lines" w:linePitch="312" w:charSpace="0"/>
        </w:sectPr>
      </w:pPr>
    </w:p>
    <w:p>
      <w:pPr>
        <w:keepNext/>
        <w:pageBreakBefore/>
        <w:widowControl/>
        <w:shd w:val="clear" w:color="FFFFFF" w:fill="FFFFFF"/>
        <w:spacing w:before="640" w:after="560"/>
        <w:jc w:val="center"/>
        <w:outlineLvl w:val="0"/>
        <w:rPr>
          <w:rFonts w:ascii="Times New Roman" w:hAnsi="Times New Roman" w:eastAsia="黑体" w:cs="Times New Roman"/>
          <w:kern w:val="0"/>
          <w:sz w:val="32"/>
          <w:szCs w:val="20"/>
        </w:rPr>
      </w:pPr>
      <w:bookmarkStart w:id="7" w:name="_Toc504909119"/>
      <w:bookmarkStart w:id="8" w:name="_Toc504908957"/>
      <w:bookmarkStart w:id="9" w:name="_Toc504909184"/>
      <w:r>
        <w:rPr>
          <w:rFonts w:ascii="Times New Roman" w:hAnsi="Times New Roman" w:eastAsia="黑体" w:cs="Times New Roman"/>
          <w:kern w:val="0"/>
          <w:sz w:val="32"/>
          <w:szCs w:val="20"/>
        </w:rPr>
        <w:t>前  言</w:t>
      </w:r>
    </w:p>
    <w:p>
      <w:pPr>
        <w:widowControl/>
        <w:tabs>
          <w:tab w:val="center" w:pos="4201"/>
          <w:tab w:val="right" w:leader="dot" w:pos="9298"/>
        </w:tabs>
        <w:autoSpaceDE w:val="0"/>
        <w:autoSpaceDN w:val="0"/>
        <w:ind w:firstLine="420" w:firstLineChars="200"/>
        <w:rPr>
          <w:rFonts w:hint="eastAsia" w:asciiTheme="minorEastAsia" w:hAnsiTheme="minorEastAsia" w:eastAsiaTheme="minorEastAsia" w:cstheme="minorEastAsia"/>
          <w:kern w:val="0"/>
          <w:szCs w:val="20"/>
        </w:rPr>
      </w:pPr>
      <w:r>
        <w:rPr>
          <w:rFonts w:hint="eastAsia" w:asciiTheme="minorEastAsia" w:hAnsiTheme="minorEastAsia" w:eastAsiaTheme="minorEastAsia" w:cstheme="minorEastAsia"/>
          <w:kern w:val="0"/>
          <w:szCs w:val="20"/>
        </w:rPr>
        <w:t>本标准</w:t>
      </w:r>
      <w:r>
        <w:rPr>
          <w:rFonts w:hint="eastAsia" w:asciiTheme="minorEastAsia" w:hAnsiTheme="minorEastAsia" w:eastAsiaTheme="minorEastAsia" w:cstheme="minorEastAsia"/>
          <w:color w:val="000000"/>
          <w:kern w:val="0"/>
          <w:szCs w:val="21"/>
        </w:rPr>
        <w:t>按照 GB/T1.1-2009 给出的规则起草。</w:t>
      </w:r>
    </w:p>
    <w:p>
      <w:pPr>
        <w:widowControl/>
        <w:tabs>
          <w:tab w:val="center" w:pos="4201"/>
          <w:tab w:val="right" w:leader="dot" w:pos="9298"/>
        </w:tabs>
        <w:autoSpaceDE w:val="0"/>
        <w:autoSpaceDN w:val="0"/>
        <w:ind w:firstLine="420" w:firstLineChars="200"/>
        <w:rPr>
          <w:rFonts w:hint="eastAsia" w:asciiTheme="minorEastAsia" w:hAnsiTheme="minorEastAsia" w:eastAsiaTheme="minorEastAsia" w:cstheme="minorEastAsia"/>
          <w:kern w:val="0"/>
          <w:szCs w:val="20"/>
        </w:rPr>
      </w:pPr>
      <w:r>
        <w:rPr>
          <w:rFonts w:hint="eastAsia" w:asciiTheme="minorEastAsia" w:hAnsiTheme="minorEastAsia" w:eastAsiaTheme="minorEastAsia" w:cstheme="minorEastAsia"/>
          <w:kern w:val="0"/>
          <w:szCs w:val="20"/>
        </w:rPr>
        <w:t>本标准由</w:t>
      </w:r>
      <w:r>
        <w:rPr>
          <w:rFonts w:hint="eastAsia" w:asciiTheme="minorEastAsia" w:hAnsiTheme="minorEastAsia" w:cstheme="minorEastAsia"/>
          <w:kern w:val="0"/>
          <w:szCs w:val="20"/>
          <w:lang w:val="en-US" w:eastAsia="zh-CN"/>
        </w:rPr>
        <w:t>中国香料香精化妆品工业协会</w:t>
      </w:r>
      <w:r>
        <w:rPr>
          <w:rFonts w:hint="eastAsia" w:asciiTheme="minorEastAsia" w:hAnsiTheme="minorEastAsia" w:eastAsiaTheme="minorEastAsia" w:cstheme="minorEastAsia"/>
          <w:kern w:val="0"/>
          <w:szCs w:val="20"/>
        </w:rPr>
        <w:t>提出。</w:t>
      </w:r>
    </w:p>
    <w:p>
      <w:pPr>
        <w:widowControl/>
        <w:tabs>
          <w:tab w:val="center" w:pos="4201"/>
          <w:tab w:val="right" w:leader="dot" w:pos="9298"/>
        </w:tabs>
        <w:autoSpaceDE w:val="0"/>
        <w:autoSpaceDN w:val="0"/>
        <w:ind w:firstLine="420" w:firstLineChars="200"/>
        <w:rPr>
          <w:rFonts w:hint="eastAsia" w:asciiTheme="minorEastAsia" w:hAnsiTheme="minorEastAsia" w:eastAsiaTheme="minorEastAsia" w:cstheme="minorEastAsia"/>
          <w:kern w:val="0"/>
          <w:szCs w:val="20"/>
        </w:rPr>
      </w:pPr>
      <w:r>
        <w:rPr>
          <w:rFonts w:hint="eastAsia" w:asciiTheme="minorEastAsia" w:hAnsiTheme="minorEastAsia" w:eastAsiaTheme="minorEastAsia" w:cstheme="minorEastAsia"/>
          <w:kern w:val="0"/>
          <w:szCs w:val="20"/>
        </w:rPr>
        <w:t>本标准由中国香料香精化妆品工业协会归口。</w:t>
      </w:r>
    </w:p>
    <w:p>
      <w:pPr>
        <w:pStyle w:val="20"/>
        <w:ind w:left="420" w:leftChars="200" w:firstLine="0" w:firstLineChars="0"/>
        <w:rPr>
          <w:rFonts w:hint="eastAsia" w:asciiTheme="minorEastAsia" w:hAnsiTheme="minorEastAsia" w:eastAsiaTheme="minorEastAsia" w:cstheme="minorEastAsia"/>
        </w:rPr>
      </w:pPr>
      <w:r>
        <w:rPr>
          <w:rFonts w:hint="eastAsia" w:asciiTheme="minorEastAsia" w:hAnsiTheme="minorEastAsia" w:eastAsiaTheme="minorEastAsia" w:cstheme="minorEastAsia"/>
        </w:rPr>
        <w:t>本标准起草单位：上海相宜本草化妆品股份有限公司、昆明仟草生物科技有限公司、北京东方淼森生物科技有限公司、海南京润珍珠生物技术股份有限公司。</w:t>
      </w:r>
    </w:p>
    <w:p>
      <w:pPr>
        <w:pStyle w:val="20"/>
        <w:ind w:left="420" w:leftChars="200" w:firstLine="0" w:firstLineChars="0"/>
        <w:rPr>
          <w:rFonts w:ascii="Times New Roman" w:hAnsi="Times New Roman"/>
        </w:rPr>
      </w:pPr>
      <w:r>
        <w:rPr>
          <w:rFonts w:hint="eastAsia" w:asciiTheme="minorEastAsia" w:hAnsiTheme="minorEastAsia" w:eastAsiaTheme="minorEastAsia" w:cstheme="minorEastAsia"/>
        </w:rPr>
        <w:t>本标准主要起草人：吕智、刘丹、鲁维聪、</w:t>
      </w:r>
      <w:r>
        <w:rPr>
          <w:rFonts w:hint="eastAsia" w:ascii="Times New Roman" w:hAnsi="Times New Roman"/>
        </w:rPr>
        <w:t>王改香、杨娜、黄灿、李从严、</w:t>
      </w:r>
      <w:r>
        <w:rPr>
          <w:rFonts w:ascii="Times New Roman" w:hAnsi="Times New Roman"/>
        </w:rPr>
        <w:t>杨雪峰</w:t>
      </w:r>
      <w:r>
        <w:rPr>
          <w:rFonts w:hint="eastAsia" w:ascii="Times New Roman" w:hAnsi="Times New Roman"/>
        </w:rPr>
        <w:t>、李才广、徐建纯。</w:t>
      </w:r>
    </w:p>
    <w:p>
      <w:pPr>
        <w:widowControl/>
        <w:tabs>
          <w:tab w:val="center" w:pos="4201"/>
          <w:tab w:val="right" w:leader="dot" w:pos="9298"/>
        </w:tabs>
        <w:autoSpaceDE w:val="0"/>
        <w:autoSpaceDN w:val="0"/>
        <w:ind w:firstLine="420" w:firstLineChars="200"/>
        <w:rPr>
          <w:rFonts w:ascii="Times New Roman" w:hAnsi="Times New Roman" w:eastAsia="宋体" w:cs="Times New Roman"/>
          <w:kern w:val="0"/>
          <w:szCs w:val="20"/>
        </w:rPr>
      </w:pPr>
      <w:r>
        <w:rPr>
          <w:rFonts w:ascii="Times New Roman" w:hAnsi="Times New Roman" w:eastAsia="宋体" w:cs="Times New Roman"/>
          <w:kern w:val="0"/>
          <w:szCs w:val="20"/>
        </w:rPr>
        <w:t xml:space="preserve"> “请注意本文件的某些内容可能涉及专利。本文件的发布机构不承担识别这些专利的责任。”</w:t>
      </w:r>
    </w:p>
    <w:p>
      <w:pPr>
        <w:keepNext/>
        <w:pageBreakBefore/>
        <w:widowControl/>
        <w:shd w:val="clear" w:color="FFFFFF" w:fill="FFFFFF"/>
        <w:spacing w:before="640" w:after="560" w:line="460" w:lineRule="exact"/>
        <w:jc w:val="center"/>
        <w:outlineLvl w:val="0"/>
        <w:rPr>
          <w:rFonts w:ascii="Times New Roman" w:hAnsi="Times New Roman" w:eastAsia="黑体" w:cs="Times New Roman"/>
          <w:kern w:val="0"/>
          <w:sz w:val="32"/>
          <w:szCs w:val="20"/>
        </w:rPr>
        <w:sectPr>
          <w:headerReference r:id="rId3" w:type="default"/>
          <w:footerReference r:id="rId4" w:type="default"/>
          <w:pgSz w:w="11906" w:h="16838"/>
          <w:pgMar w:top="567" w:right="1134" w:bottom="1134" w:left="1470" w:header="1418" w:footer="1134" w:gutter="0"/>
          <w:pgNumType w:start="1"/>
          <w:cols w:space="720" w:num="1"/>
          <w:formProt w:val="0"/>
          <w:docGrid w:type="lines" w:linePitch="312" w:charSpace="0"/>
        </w:sectPr>
      </w:pPr>
    </w:p>
    <w:bookmarkEnd w:id="7"/>
    <w:bookmarkEnd w:id="8"/>
    <w:bookmarkEnd w:id="9"/>
    <w:p>
      <w:pPr>
        <w:keepNext/>
        <w:pageBreakBefore/>
        <w:widowControl/>
        <w:shd w:val="clear" w:color="FFFFFF" w:fill="FFFFFF"/>
        <w:spacing w:before="640" w:after="560" w:line="460" w:lineRule="exact"/>
        <w:jc w:val="center"/>
        <w:outlineLvl w:val="0"/>
        <w:rPr>
          <w:rFonts w:ascii="Times New Roman" w:hAnsi="Times New Roman" w:eastAsia="黑体" w:cs="Times New Roman"/>
          <w:kern w:val="0"/>
          <w:sz w:val="32"/>
          <w:szCs w:val="20"/>
        </w:rPr>
      </w:pPr>
      <w:r>
        <w:rPr>
          <w:rFonts w:ascii="Times New Roman" w:hAnsi="Times New Roman" w:eastAsia="黑体" w:cs="Times New Roman"/>
          <w:kern w:val="0"/>
          <w:sz w:val="32"/>
          <w:szCs w:val="20"/>
        </w:rPr>
        <w:t>化妆品用原料</w:t>
      </w:r>
    </w:p>
    <w:p>
      <w:pPr>
        <w:widowControl/>
        <w:tabs>
          <w:tab w:val="center" w:pos="4201"/>
          <w:tab w:val="right" w:leader="dot" w:pos="9298"/>
        </w:tabs>
        <w:autoSpaceDE w:val="0"/>
        <w:autoSpaceDN w:val="0"/>
        <w:ind w:firstLine="640" w:firstLineChars="200"/>
        <w:jc w:val="center"/>
        <w:rPr>
          <w:rFonts w:ascii="Times New Roman" w:hAnsi="Times New Roman" w:eastAsia="黑体" w:cs="Times New Roman"/>
          <w:kern w:val="0"/>
          <w:sz w:val="32"/>
          <w:szCs w:val="32"/>
        </w:rPr>
      </w:pPr>
      <w:r>
        <w:rPr>
          <w:rFonts w:hint="eastAsia" w:ascii="Times New Roman" w:hAnsi="Times New Roman" w:eastAsia="黑体" w:cs="Times New Roman"/>
          <w:kern w:val="0"/>
          <w:sz w:val="32"/>
          <w:szCs w:val="32"/>
        </w:rPr>
        <w:t>积雪草（Centella asiatica）提取物</w:t>
      </w:r>
    </w:p>
    <w:p>
      <w:pPr>
        <w:pStyle w:val="21"/>
        <w:spacing w:before="312" w:after="312"/>
        <w:rPr>
          <w:rFonts w:hAnsi="黑体" w:cs="黑体"/>
          <w:kern w:val="2"/>
          <w:szCs w:val="21"/>
        </w:rPr>
      </w:pPr>
      <w:r>
        <w:rPr>
          <w:rFonts w:hAnsi="黑体" w:cs="黑体"/>
          <w:kern w:val="2"/>
          <w:szCs w:val="21"/>
        </w:rPr>
        <w:t xml:space="preserve">1 </w:t>
      </w:r>
      <w:r>
        <w:rPr>
          <w:rFonts w:hint="eastAsia" w:hAnsi="黑体" w:cs="黑体"/>
          <w:kern w:val="2"/>
          <w:szCs w:val="21"/>
        </w:rPr>
        <w:t>范围</w:t>
      </w:r>
    </w:p>
    <w:p>
      <w:pPr>
        <w:pStyle w:val="20"/>
        <w:rPr>
          <w:rFonts w:hint="eastAsia" w:asciiTheme="minorEastAsia" w:hAnsiTheme="minorEastAsia" w:eastAsiaTheme="minorEastAsia" w:cstheme="minorEastAsia"/>
          <w:kern w:val="0"/>
          <w:szCs w:val="22"/>
        </w:rPr>
      </w:pPr>
      <w:r>
        <w:rPr>
          <w:rFonts w:hint="eastAsia" w:asciiTheme="minorEastAsia" w:hAnsiTheme="minorEastAsia" w:eastAsiaTheme="minorEastAsia" w:cstheme="minorEastAsia"/>
          <w:kern w:val="0"/>
          <w:szCs w:val="22"/>
        </w:rPr>
        <w:t>本标准规定了积雪草提取物的要求、检测方法、检验规则、标志、包装、运输、贮存及保质期。</w:t>
      </w:r>
    </w:p>
    <w:p>
      <w:pPr>
        <w:pStyle w:val="20"/>
        <w:rPr>
          <w:rFonts w:hint="eastAsia" w:asciiTheme="minorEastAsia" w:hAnsiTheme="minorEastAsia" w:eastAsiaTheme="minorEastAsia" w:cstheme="minorEastAsia"/>
          <w:kern w:val="0"/>
          <w:szCs w:val="22"/>
        </w:rPr>
      </w:pPr>
      <w:r>
        <w:rPr>
          <w:rFonts w:hint="eastAsia" w:asciiTheme="minorEastAsia" w:hAnsiTheme="minorEastAsia" w:eastAsiaTheme="minorEastAsia" w:cstheme="minorEastAsia"/>
          <w:kern w:val="0"/>
          <w:szCs w:val="22"/>
        </w:rPr>
        <w:t>本标准适用于以有机醇或水或二者按</w:t>
      </w:r>
      <w:r>
        <w:rPr>
          <w:rFonts w:hint="eastAsia" w:asciiTheme="minorEastAsia" w:hAnsiTheme="minorEastAsia" w:eastAsiaTheme="minorEastAsia" w:cstheme="minorEastAsia"/>
          <w:kern w:val="0"/>
          <w:szCs w:val="22"/>
          <w:lang w:val="en-US" w:eastAsia="zh-CN"/>
        </w:rPr>
        <w:t>适当</w:t>
      </w:r>
      <w:r>
        <w:rPr>
          <w:rFonts w:hint="eastAsia" w:asciiTheme="minorEastAsia" w:hAnsiTheme="minorEastAsia" w:eastAsiaTheme="minorEastAsia" w:cstheme="minorEastAsia"/>
          <w:kern w:val="0"/>
          <w:szCs w:val="22"/>
        </w:rPr>
        <w:t>制成的混合液体为溶剂，从伞形科植物积雪草</w:t>
      </w:r>
      <w:r>
        <w:rPr>
          <w:rFonts w:hint="eastAsia" w:asciiTheme="minorEastAsia" w:hAnsiTheme="minorEastAsia" w:eastAsiaTheme="minorEastAsia" w:cstheme="minorEastAsia"/>
          <w:kern w:val="0"/>
          <w:szCs w:val="22"/>
          <w:lang w:val="en-US" w:eastAsia="zh-CN"/>
        </w:rPr>
        <w:t xml:space="preserve"> </w:t>
      </w:r>
      <w:r>
        <w:rPr>
          <w:rFonts w:hint="eastAsia" w:asciiTheme="minorEastAsia" w:hAnsiTheme="minorEastAsia" w:eastAsiaTheme="minorEastAsia" w:cstheme="minorEastAsia"/>
          <w:i/>
          <w:iCs/>
          <w:kern w:val="0"/>
          <w:szCs w:val="22"/>
        </w:rPr>
        <w:t>Centella asiatica（L.）Urb</w:t>
      </w:r>
      <w:r>
        <w:rPr>
          <w:rFonts w:hint="eastAsia" w:asciiTheme="minorEastAsia" w:hAnsiTheme="minorEastAsia" w:eastAsiaTheme="minorEastAsia" w:cstheme="minorEastAsia"/>
          <w:i/>
          <w:iCs/>
          <w:kern w:val="0"/>
          <w:szCs w:val="22"/>
          <w:lang w:val="en-US" w:eastAsia="zh-CN"/>
        </w:rPr>
        <w:t xml:space="preserve"> </w:t>
      </w:r>
      <w:r>
        <w:rPr>
          <w:rFonts w:hint="eastAsia" w:asciiTheme="minorEastAsia" w:hAnsiTheme="minorEastAsia" w:eastAsiaTheme="minorEastAsia" w:cstheme="minorEastAsia"/>
          <w:kern w:val="0"/>
          <w:szCs w:val="22"/>
        </w:rPr>
        <w:t>的干燥全草经加工制成的用于化妆品原料的积雪草提取物。其主要活性成分为积雪草总苷。</w:t>
      </w:r>
    </w:p>
    <w:p>
      <w:pPr>
        <w:pStyle w:val="21"/>
        <w:spacing w:before="312" w:after="312"/>
        <w:rPr>
          <w:rFonts w:hAnsi="黑体" w:cs="黑体"/>
          <w:kern w:val="2"/>
          <w:szCs w:val="21"/>
        </w:rPr>
      </w:pPr>
      <w:r>
        <w:rPr>
          <w:rFonts w:hAnsi="黑体" w:cs="黑体"/>
          <w:kern w:val="2"/>
          <w:szCs w:val="21"/>
        </w:rPr>
        <w:t xml:space="preserve">2 </w:t>
      </w:r>
      <w:r>
        <w:rPr>
          <w:rFonts w:hint="eastAsia" w:hAnsi="黑体" w:cs="黑体"/>
          <w:kern w:val="2"/>
          <w:szCs w:val="21"/>
        </w:rPr>
        <w:t>规范性引用文件</w:t>
      </w:r>
    </w:p>
    <w:p>
      <w:pPr>
        <w:pStyle w:val="20"/>
        <w:rPr>
          <w:rFonts w:hint="eastAsia" w:asciiTheme="minorEastAsia" w:hAnsiTheme="minorEastAsia" w:eastAsiaTheme="minorEastAsia" w:cstheme="minorEastAsia"/>
          <w:kern w:val="0"/>
          <w:szCs w:val="22"/>
        </w:rPr>
      </w:pPr>
      <w:r>
        <w:rPr>
          <w:rFonts w:hint="eastAsia" w:asciiTheme="minorEastAsia" w:hAnsiTheme="minorEastAsia" w:eastAsiaTheme="minorEastAsia" w:cstheme="minorEastAsia"/>
          <w:kern w:val="0"/>
          <w:szCs w:val="22"/>
        </w:rPr>
        <w:t>下列文件对于本文件的应用是必不可少的。凡是注日期的引用文件，仅注日期的版本适用于本文件。凡是不注日期的引用文件，其最新版本（包括所有修改单）适用于本文件。</w:t>
      </w:r>
    </w:p>
    <w:p>
      <w:pPr>
        <w:pStyle w:val="20"/>
        <w:rPr>
          <w:rFonts w:hint="eastAsia" w:asciiTheme="minorEastAsia" w:hAnsiTheme="minorEastAsia" w:eastAsiaTheme="minorEastAsia" w:cstheme="minorEastAsia"/>
          <w:kern w:val="0"/>
          <w:szCs w:val="22"/>
        </w:rPr>
      </w:pPr>
      <w:r>
        <w:rPr>
          <w:rFonts w:hint="eastAsia" w:asciiTheme="minorEastAsia" w:hAnsiTheme="minorEastAsia" w:eastAsiaTheme="minorEastAsia" w:cstheme="minorEastAsia"/>
          <w:kern w:val="0"/>
          <w:szCs w:val="22"/>
        </w:rPr>
        <w:t>GB/T</w:t>
      </w:r>
      <w:r>
        <w:rPr>
          <w:rFonts w:hint="eastAsia" w:asciiTheme="minorEastAsia" w:hAnsiTheme="minorEastAsia" w:eastAsiaTheme="minorEastAsia" w:cstheme="minorEastAsia"/>
          <w:kern w:val="0"/>
          <w:szCs w:val="22"/>
          <w:lang w:val="en-US" w:eastAsia="zh-CN"/>
        </w:rPr>
        <w:t xml:space="preserve"> </w:t>
      </w:r>
      <w:r>
        <w:rPr>
          <w:rFonts w:hint="eastAsia" w:asciiTheme="minorEastAsia" w:hAnsiTheme="minorEastAsia" w:eastAsiaTheme="minorEastAsia" w:cstheme="minorEastAsia"/>
          <w:kern w:val="0"/>
          <w:szCs w:val="22"/>
        </w:rPr>
        <w:t>191 包装储运图示标志</w:t>
      </w:r>
    </w:p>
    <w:p>
      <w:pPr>
        <w:pStyle w:val="20"/>
        <w:rPr>
          <w:rFonts w:hint="eastAsia" w:asciiTheme="minorEastAsia" w:hAnsiTheme="minorEastAsia" w:eastAsiaTheme="minorEastAsia" w:cstheme="minorEastAsia"/>
          <w:kern w:val="0"/>
          <w:szCs w:val="22"/>
        </w:rPr>
      </w:pPr>
      <w:r>
        <w:rPr>
          <w:rFonts w:hint="eastAsia" w:asciiTheme="minorEastAsia" w:hAnsiTheme="minorEastAsia" w:eastAsiaTheme="minorEastAsia" w:cstheme="minorEastAsia"/>
          <w:kern w:val="0"/>
          <w:szCs w:val="22"/>
        </w:rPr>
        <w:t>GB/T</w:t>
      </w:r>
      <w:r>
        <w:rPr>
          <w:rFonts w:hint="eastAsia" w:asciiTheme="minorEastAsia" w:hAnsiTheme="minorEastAsia" w:eastAsiaTheme="minorEastAsia" w:cstheme="minorEastAsia"/>
          <w:kern w:val="0"/>
          <w:szCs w:val="22"/>
          <w:lang w:val="en-US" w:eastAsia="zh-CN"/>
        </w:rPr>
        <w:t xml:space="preserve"> </w:t>
      </w:r>
      <w:r>
        <w:rPr>
          <w:rFonts w:hint="eastAsia" w:asciiTheme="minorEastAsia" w:hAnsiTheme="minorEastAsia" w:eastAsiaTheme="minorEastAsia" w:cstheme="minorEastAsia"/>
          <w:kern w:val="0"/>
          <w:szCs w:val="22"/>
        </w:rPr>
        <w:t>6678</w:t>
      </w:r>
      <w:r>
        <w:rPr>
          <w:rFonts w:hint="eastAsia" w:asciiTheme="minorEastAsia" w:hAnsiTheme="minorEastAsia" w:eastAsiaTheme="minorEastAsia" w:cstheme="minorEastAsia"/>
          <w:kern w:val="0"/>
          <w:szCs w:val="22"/>
          <w:lang w:val="en-US" w:eastAsia="zh-CN"/>
        </w:rPr>
        <w:t xml:space="preserve"> </w:t>
      </w:r>
      <w:r>
        <w:rPr>
          <w:rFonts w:hint="eastAsia" w:asciiTheme="minorEastAsia" w:hAnsiTheme="minorEastAsia" w:eastAsiaTheme="minorEastAsia" w:cstheme="minorEastAsia"/>
          <w:kern w:val="0"/>
          <w:szCs w:val="22"/>
        </w:rPr>
        <w:t>化工产品采样总则</w:t>
      </w:r>
    </w:p>
    <w:p>
      <w:pPr>
        <w:pStyle w:val="20"/>
        <w:rPr>
          <w:rFonts w:hint="eastAsia" w:asciiTheme="minorEastAsia" w:hAnsiTheme="minorEastAsia" w:eastAsiaTheme="minorEastAsia" w:cstheme="minorEastAsia"/>
          <w:kern w:val="0"/>
          <w:szCs w:val="22"/>
          <w:lang w:val="en-US" w:eastAsia="zh-CN"/>
        </w:rPr>
      </w:pPr>
      <w:r>
        <w:rPr>
          <w:rFonts w:hint="eastAsia" w:asciiTheme="minorEastAsia" w:hAnsiTheme="minorEastAsia" w:eastAsiaTheme="minorEastAsia" w:cstheme="minorEastAsia"/>
          <w:kern w:val="0"/>
          <w:szCs w:val="22"/>
          <w:lang w:val="en-US" w:eastAsia="zh-CN"/>
        </w:rPr>
        <w:t>GB/T 6680 液体化工产品采样通则</w:t>
      </w:r>
    </w:p>
    <w:p>
      <w:pPr>
        <w:pStyle w:val="20"/>
        <w:rPr>
          <w:rFonts w:hint="eastAsia" w:asciiTheme="minorEastAsia" w:hAnsiTheme="minorEastAsia" w:eastAsiaTheme="minorEastAsia" w:cstheme="minorEastAsia"/>
          <w:kern w:val="0"/>
          <w:szCs w:val="22"/>
        </w:rPr>
      </w:pPr>
      <w:r>
        <w:rPr>
          <w:rFonts w:hint="eastAsia" w:asciiTheme="minorEastAsia" w:hAnsiTheme="minorEastAsia" w:eastAsiaTheme="minorEastAsia" w:cstheme="minorEastAsia"/>
          <w:kern w:val="0"/>
          <w:szCs w:val="22"/>
        </w:rPr>
        <w:t>GB/T</w:t>
      </w:r>
      <w:r>
        <w:rPr>
          <w:rFonts w:hint="eastAsia" w:asciiTheme="minorEastAsia" w:hAnsiTheme="minorEastAsia" w:eastAsiaTheme="minorEastAsia" w:cstheme="minorEastAsia"/>
          <w:kern w:val="0"/>
          <w:szCs w:val="22"/>
          <w:lang w:val="en-US" w:eastAsia="zh-CN"/>
        </w:rPr>
        <w:t xml:space="preserve"> </w:t>
      </w:r>
      <w:r>
        <w:rPr>
          <w:rFonts w:hint="eastAsia" w:asciiTheme="minorEastAsia" w:hAnsiTheme="minorEastAsia" w:eastAsiaTheme="minorEastAsia" w:cstheme="minorEastAsia"/>
          <w:kern w:val="0"/>
          <w:szCs w:val="22"/>
        </w:rPr>
        <w:t>8170</w:t>
      </w:r>
      <w:r>
        <w:rPr>
          <w:rFonts w:hint="eastAsia" w:asciiTheme="minorEastAsia" w:hAnsiTheme="minorEastAsia" w:eastAsiaTheme="minorEastAsia" w:cstheme="minorEastAsia"/>
          <w:kern w:val="0"/>
          <w:szCs w:val="22"/>
          <w:lang w:val="en-US" w:eastAsia="zh-CN"/>
        </w:rPr>
        <w:t xml:space="preserve"> </w:t>
      </w:r>
      <w:r>
        <w:rPr>
          <w:rFonts w:hint="eastAsia" w:asciiTheme="minorEastAsia" w:hAnsiTheme="minorEastAsia" w:eastAsiaTheme="minorEastAsia" w:cstheme="minorEastAsia"/>
          <w:kern w:val="0"/>
          <w:szCs w:val="22"/>
        </w:rPr>
        <w:t>数值修约规则与极限数值的表示和判定</w:t>
      </w:r>
    </w:p>
    <w:p>
      <w:pPr>
        <w:pStyle w:val="20"/>
        <w:rPr>
          <w:rFonts w:hint="eastAsia" w:asciiTheme="minorEastAsia" w:hAnsiTheme="minorEastAsia" w:eastAsiaTheme="minorEastAsia" w:cstheme="minorEastAsia"/>
          <w:kern w:val="0"/>
          <w:szCs w:val="22"/>
          <w:lang w:eastAsia="zh-CN"/>
        </w:rPr>
      </w:pPr>
      <w:r>
        <w:rPr>
          <w:rFonts w:hint="eastAsia" w:asciiTheme="minorEastAsia" w:hAnsiTheme="minorEastAsia" w:eastAsiaTheme="minorEastAsia" w:cstheme="minorEastAsia"/>
          <w:kern w:val="0"/>
          <w:szCs w:val="22"/>
        </w:rPr>
        <w:t>化妆品安全技术规范</w:t>
      </w:r>
      <w:r>
        <w:rPr>
          <w:rFonts w:hint="eastAsia" w:asciiTheme="minorEastAsia" w:hAnsiTheme="minorEastAsia" w:eastAsiaTheme="minorEastAsia" w:cstheme="minorEastAsia"/>
          <w:kern w:val="0"/>
          <w:szCs w:val="22"/>
          <w:lang w:eastAsia="zh-CN"/>
        </w:rPr>
        <w:t>（</w:t>
      </w:r>
      <w:r>
        <w:rPr>
          <w:rFonts w:hint="eastAsia" w:asciiTheme="minorEastAsia" w:hAnsiTheme="minorEastAsia" w:eastAsiaTheme="minorEastAsia" w:cstheme="minorEastAsia"/>
          <w:kern w:val="0"/>
          <w:szCs w:val="22"/>
        </w:rPr>
        <w:t>2015</w:t>
      </w:r>
      <w:r>
        <w:rPr>
          <w:rFonts w:hint="eastAsia" w:asciiTheme="minorEastAsia" w:hAnsiTheme="minorEastAsia" w:eastAsiaTheme="minorEastAsia" w:cstheme="minorEastAsia"/>
          <w:kern w:val="0"/>
          <w:szCs w:val="22"/>
          <w:lang w:val="en-US" w:eastAsia="zh-CN"/>
        </w:rPr>
        <w:t>年</w:t>
      </w:r>
      <w:r>
        <w:rPr>
          <w:rFonts w:hint="eastAsia" w:asciiTheme="minorEastAsia" w:hAnsiTheme="minorEastAsia" w:eastAsiaTheme="minorEastAsia" w:cstheme="minorEastAsia"/>
          <w:kern w:val="0"/>
          <w:szCs w:val="22"/>
        </w:rPr>
        <w:t>版</w:t>
      </w:r>
      <w:r>
        <w:rPr>
          <w:rFonts w:hint="eastAsia" w:asciiTheme="minorEastAsia" w:hAnsiTheme="minorEastAsia" w:eastAsiaTheme="minorEastAsia" w:cstheme="minorEastAsia"/>
          <w:kern w:val="0"/>
          <w:szCs w:val="22"/>
          <w:lang w:eastAsia="zh-CN"/>
        </w:rPr>
        <w:t>）（</w:t>
      </w:r>
      <w:r>
        <w:rPr>
          <w:rFonts w:hint="eastAsia" w:asciiTheme="minorEastAsia" w:hAnsiTheme="minorEastAsia" w:eastAsiaTheme="minorEastAsia" w:cstheme="minorEastAsia"/>
          <w:kern w:val="0"/>
          <w:szCs w:val="22"/>
          <w:lang w:val="en-US" w:eastAsia="zh-CN"/>
        </w:rPr>
        <w:t>国家食品药品监督管理总局公告 2015 年第268号</w:t>
      </w:r>
      <w:r>
        <w:rPr>
          <w:rFonts w:hint="eastAsia" w:asciiTheme="minorEastAsia" w:hAnsiTheme="minorEastAsia" w:eastAsiaTheme="minorEastAsia" w:cstheme="minorEastAsia"/>
          <w:kern w:val="0"/>
          <w:szCs w:val="22"/>
          <w:lang w:eastAsia="zh-CN"/>
        </w:rPr>
        <w:t>）</w:t>
      </w:r>
    </w:p>
    <w:p>
      <w:pPr>
        <w:pStyle w:val="20"/>
        <w:rPr>
          <w:rFonts w:hint="eastAsia" w:asciiTheme="minorEastAsia" w:hAnsiTheme="minorEastAsia" w:eastAsiaTheme="minorEastAsia" w:cstheme="minorEastAsia"/>
          <w:kern w:val="0"/>
          <w:szCs w:val="22"/>
          <w:lang w:val="en-US" w:eastAsia="zh-CN"/>
        </w:rPr>
      </w:pPr>
      <w:r>
        <w:rPr>
          <w:rFonts w:hint="eastAsia" w:asciiTheme="minorEastAsia" w:hAnsiTheme="minorEastAsia" w:eastAsiaTheme="minorEastAsia" w:cstheme="minorEastAsia"/>
          <w:kern w:val="0"/>
          <w:szCs w:val="22"/>
        </w:rPr>
        <w:t>中华人民共和国药典</w:t>
      </w:r>
      <w:r>
        <w:rPr>
          <w:rFonts w:hint="eastAsia" w:asciiTheme="minorEastAsia" w:hAnsiTheme="minorEastAsia" w:eastAsiaTheme="minorEastAsia" w:cstheme="minorEastAsia"/>
          <w:kern w:val="0"/>
          <w:szCs w:val="22"/>
          <w:lang w:val="en-US" w:eastAsia="zh-CN"/>
        </w:rPr>
        <w:t xml:space="preserve"> </w:t>
      </w:r>
      <w:r>
        <w:rPr>
          <w:rFonts w:hint="eastAsia" w:asciiTheme="minorEastAsia" w:hAnsiTheme="minorEastAsia" w:eastAsiaTheme="minorEastAsia" w:cstheme="minorEastAsia"/>
          <w:kern w:val="0"/>
          <w:szCs w:val="22"/>
        </w:rPr>
        <w:t>2015</w:t>
      </w:r>
      <w:r>
        <w:rPr>
          <w:rFonts w:hint="eastAsia" w:asciiTheme="minorEastAsia" w:hAnsiTheme="minorEastAsia" w:eastAsiaTheme="minorEastAsia" w:cstheme="minorEastAsia"/>
          <w:kern w:val="0"/>
          <w:szCs w:val="22"/>
          <w:lang w:val="en-US" w:eastAsia="zh-CN"/>
        </w:rPr>
        <w:t>年版</w:t>
      </w:r>
    </w:p>
    <w:p>
      <w:pPr>
        <w:pStyle w:val="21"/>
        <w:spacing w:before="312" w:after="312"/>
        <w:rPr>
          <w:rFonts w:hint="eastAsia" w:hAnsi="黑体" w:cs="黑体"/>
          <w:kern w:val="2"/>
          <w:szCs w:val="21"/>
          <w:lang w:val="en-US" w:eastAsia="zh-CN"/>
        </w:rPr>
      </w:pPr>
      <w:r>
        <w:rPr>
          <w:rFonts w:hAnsi="黑体" w:cs="黑体"/>
          <w:kern w:val="2"/>
          <w:szCs w:val="21"/>
        </w:rPr>
        <w:t xml:space="preserve">3 </w:t>
      </w:r>
      <w:r>
        <w:rPr>
          <w:rFonts w:hint="eastAsia" w:hAnsi="黑体" w:cs="黑体"/>
          <w:kern w:val="2"/>
          <w:szCs w:val="21"/>
          <w:lang w:val="en-US" w:eastAsia="zh-CN"/>
        </w:rPr>
        <w:t>基本信息</w:t>
      </w:r>
    </w:p>
    <w:p>
      <w:pPr>
        <w:pStyle w:val="20"/>
        <w:rPr>
          <w:rFonts w:hint="eastAsia" w:asciiTheme="minorEastAsia" w:hAnsiTheme="minorEastAsia" w:eastAsiaTheme="minorEastAsia" w:cstheme="minorEastAsia"/>
          <w:kern w:val="0"/>
          <w:szCs w:val="22"/>
        </w:rPr>
      </w:pPr>
      <w:r>
        <w:rPr>
          <w:rFonts w:hint="eastAsia" w:asciiTheme="minorEastAsia" w:hAnsiTheme="minorEastAsia" w:eastAsiaTheme="minorEastAsia" w:cstheme="minorEastAsia"/>
          <w:kern w:val="0"/>
          <w:szCs w:val="22"/>
        </w:rPr>
        <w:t>积雪草提取物的INCI名称：CENTELLA  ASIATICA  EXTRACT</w:t>
      </w:r>
    </w:p>
    <w:p>
      <w:pPr>
        <w:pStyle w:val="20"/>
        <w:rPr>
          <w:rFonts w:hint="eastAsia" w:asciiTheme="minorEastAsia" w:hAnsiTheme="minorEastAsia" w:eastAsiaTheme="minorEastAsia" w:cstheme="minorEastAsia"/>
          <w:kern w:val="0"/>
          <w:szCs w:val="22"/>
        </w:rPr>
      </w:pPr>
      <w:r>
        <w:rPr>
          <w:rFonts w:hint="eastAsia" w:asciiTheme="minorEastAsia" w:hAnsiTheme="minorEastAsia" w:eastAsiaTheme="minorEastAsia" w:cstheme="minorEastAsia"/>
          <w:kern w:val="0"/>
          <w:szCs w:val="22"/>
        </w:rPr>
        <w:t>积雪草提取液的主要活性成分：</w:t>
      </w:r>
    </w:p>
    <w:p>
      <w:pPr>
        <w:pStyle w:val="20"/>
        <w:rPr>
          <w:rFonts w:hint="eastAsia" w:asciiTheme="minorEastAsia" w:hAnsiTheme="minorEastAsia" w:eastAsiaTheme="minorEastAsia" w:cstheme="minorEastAsia"/>
          <w:kern w:val="0"/>
          <w:szCs w:val="22"/>
        </w:rPr>
      </w:pPr>
      <w:r>
        <w:rPr>
          <w:rFonts w:hint="eastAsia" w:asciiTheme="minorEastAsia" w:hAnsiTheme="minorEastAsia" w:eastAsiaTheme="minorEastAsia" w:cstheme="minorEastAsia"/>
          <w:kern w:val="0"/>
          <w:szCs w:val="22"/>
          <w:lang w:val="en-US" w:eastAsia="zh-CN"/>
        </w:rPr>
        <w:t>a）</w:t>
      </w:r>
      <w:r>
        <w:rPr>
          <w:rFonts w:hint="eastAsia" w:asciiTheme="minorEastAsia" w:hAnsiTheme="minorEastAsia" w:eastAsiaTheme="minorEastAsia" w:cstheme="minorEastAsia"/>
          <w:kern w:val="0"/>
          <w:szCs w:val="22"/>
        </w:rPr>
        <w:t>积雪草苷（Asiaticoside，CAS：16830-15-2）</w:t>
      </w:r>
    </w:p>
    <w:p>
      <w:pPr>
        <w:pStyle w:val="20"/>
        <w:rPr>
          <w:rFonts w:hint="eastAsia" w:asciiTheme="minorEastAsia" w:hAnsiTheme="minorEastAsia" w:eastAsiaTheme="minorEastAsia" w:cstheme="minorEastAsia"/>
          <w:kern w:val="0"/>
          <w:szCs w:val="22"/>
        </w:rPr>
      </w:pPr>
      <w:r>
        <w:rPr>
          <w:rFonts w:hint="eastAsia" w:asciiTheme="minorEastAsia" w:hAnsiTheme="minorEastAsia" w:eastAsiaTheme="minorEastAsia" w:cstheme="minorEastAsia"/>
          <w:kern w:val="0"/>
          <w:szCs w:val="22"/>
        </w:rPr>
        <w:t>积雪草苷的分子式：C</w:t>
      </w:r>
      <w:r>
        <w:rPr>
          <w:rFonts w:hint="eastAsia" w:asciiTheme="minorEastAsia" w:hAnsiTheme="minorEastAsia" w:eastAsiaTheme="minorEastAsia" w:cstheme="minorEastAsia"/>
          <w:kern w:val="0"/>
          <w:szCs w:val="22"/>
          <w:vertAlign w:val="subscript"/>
        </w:rPr>
        <w:t>48</w:t>
      </w:r>
      <w:r>
        <w:rPr>
          <w:rFonts w:hint="eastAsia" w:asciiTheme="minorEastAsia" w:hAnsiTheme="minorEastAsia" w:eastAsiaTheme="minorEastAsia" w:cstheme="minorEastAsia"/>
          <w:kern w:val="0"/>
          <w:szCs w:val="22"/>
        </w:rPr>
        <w:t>H</w:t>
      </w:r>
      <w:r>
        <w:rPr>
          <w:rFonts w:hint="eastAsia" w:asciiTheme="minorEastAsia" w:hAnsiTheme="minorEastAsia" w:eastAsiaTheme="minorEastAsia" w:cstheme="minorEastAsia"/>
          <w:kern w:val="0"/>
          <w:szCs w:val="22"/>
          <w:vertAlign w:val="subscript"/>
        </w:rPr>
        <w:t>78</w:t>
      </w:r>
      <w:r>
        <w:rPr>
          <w:rFonts w:hint="eastAsia" w:asciiTheme="minorEastAsia" w:hAnsiTheme="minorEastAsia" w:eastAsiaTheme="minorEastAsia" w:cstheme="minorEastAsia"/>
          <w:kern w:val="0"/>
          <w:szCs w:val="22"/>
        </w:rPr>
        <w:t>O</w:t>
      </w:r>
      <w:r>
        <w:rPr>
          <w:rFonts w:hint="eastAsia" w:asciiTheme="minorEastAsia" w:hAnsiTheme="minorEastAsia" w:eastAsiaTheme="minorEastAsia" w:cstheme="minorEastAsia"/>
          <w:kern w:val="0"/>
          <w:szCs w:val="22"/>
          <w:vertAlign w:val="subscript"/>
        </w:rPr>
        <w:t>19</w:t>
      </w:r>
    </w:p>
    <w:p>
      <w:pPr>
        <w:pStyle w:val="20"/>
        <w:rPr>
          <w:rFonts w:hint="eastAsia" w:asciiTheme="minorEastAsia" w:hAnsiTheme="minorEastAsia" w:eastAsiaTheme="minorEastAsia" w:cstheme="minorEastAsia"/>
          <w:kern w:val="0"/>
          <w:szCs w:val="22"/>
          <w:highlight w:val="yellow"/>
          <w:lang w:val="en-US" w:eastAsia="zh-CN"/>
        </w:rPr>
      </w:pPr>
      <w:r>
        <w:rPr>
          <w:rFonts w:hint="eastAsia" w:asciiTheme="minorEastAsia" w:hAnsiTheme="minorEastAsia" w:eastAsiaTheme="minorEastAsia" w:cstheme="minorEastAsia"/>
          <w:kern w:val="0"/>
          <w:szCs w:val="22"/>
        </w:rPr>
        <w:t>积雪草苷的相对分子质量：</w:t>
      </w:r>
      <w:r>
        <w:rPr>
          <w:rFonts w:hint="eastAsia" w:asciiTheme="minorEastAsia" w:hAnsiTheme="minorEastAsia" w:eastAsiaTheme="minorEastAsia" w:cstheme="minorEastAsia"/>
          <w:kern w:val="0"/>
          <w:szCs w:val="22"/>
          <w:lang w:val="en-US" w:eastAsia="zh-CN"/>
        </w:rPr>
        <w:t>959.1233</w:t>
      </w:r>
    </w:p>
    <w:p>
      <w:pPr>
        <w:pStyle w:val="20"/>
        <w:rPr>
          <w:rFonts w:hint="eastAsia" w:asciiTheme="minorEastAsia" w:hAnsiTheme="minorEastAsia" w:eastAsiaTheme="minorEastAsia" w:cstheme="minorEastAsia"/>
          <w:kern w:val="0"/>
          <w:szCs w:val="22"/>
        </w:rPr>
      </w:pPr>
      <w:r>
        <w:rPr>
          <w:rFonts w:hint="eastAsia" w:asciiTheme="minorEastAsia" w:hAnsiTheme="minorEastAsia" w:eastAsiaTheme="minorEastAsia" w:cstheme="minorEastAsia"/>
          <w:kern w:val="0"/>
          <w:szCs w:val="22"/>
        </w:rPr>
        <w:t>积雪草苷的结构式：</w:t>
      </w:r>
      <w:r>
        <w:rPr>
          <w:rFonts w:hint="eastAsia" w:asciiTheme="minorEastAsia" w:hAnsiTheme="minorEastAsia" w:eastAsiaTheme="minorEastAsia" w:cstheme="minorEastAsia"/>
          <w:kern w:val="0"/>
          <w:szCs w:val="22"/>
        </w:rPr>
        <w:drawing>
          <wp:inline distT="0" distB="0" distL="0" distR="0">
            <wp:extent cx="848360" cy="1056640"/>
            <wp:effectExtent l="0" t="0" r="889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848563" cy="1056846"/>
                    </a:xfrm>
                    <a:prstGeom prst="rect">
                      <a:avLst/>
                    </a:prstGeom>
                  </pic:spPr>
                </pic:pic>
              </a:graphicData>
            </a:graphic>
          </wp:inline>
        </w:drawing>
      </w:r>
    </w:p>
    <w:p>
      <w:pPr>
        <w:pStyle w:val="20"/>
        <w:rPr>
          <w:rFonts w:hint="eastAsia" w:asciiTheme="minorEastAsia" w:hAnsiTheme="minorEastAsia" w:eastAsiaTheme="minorEastAsia" w:cstheme="minorEastAsia"/>
          <w:kern w:val="0"/>
          <w:szCs w:val="22"/>
        </w:rPr>
      </w:pPr>
      <w:r>
        <w:rPr>
          <w:rFonts w:hint="eastAsia" w:asciiTheme="minorEastAsia" w:hAnsiTheme="minorEastAsia" w:eastAsiaTheme="minorEastAsia" w:cstheme="minorEastAsia"/>
          <w:kern w:val="0"/>
          <w:szCs w:val="22"/>
          <w:lang w:val="en-US" w:eastAsia="zh-CN"/>
        </w:rPr>
        <w:t>b</w:t>
      </w:r>
      <w:r>
        <w:rPr>
          <w:rFonts w:hint="eastAsia" w:asciiTheme="minorEastAsia" w:hAnsiTheme="minorEastAsia" w:eastAsiaTheme="minorEastAsia" w:cstheme="minorEastAsia"/>
          <w:kern w:val="0"/>
          <w:szCs w:val="22"/>
          <w:lang w:eastAsia="zh-CN"/>
        </w:rPr>
        <w:t>）</w:t>
      </w:r>
      <w:r>
        <w:rPr>
          <w:rFonts w:hint="eastAsia" w:asciiTheme="minorEastAsia" w:hAnsiTheme="minorEastAsia" w:eastAsiaTheme="minorEastAsia" w:cstheme="minorEastAsia"/>
          <w:kern w:val="0"/>
          <w:szCs w:val="22"/>
        </w:rPr>
        <w:t>羟基积雪草苷（madecassoside，CAS：34540-22-2）</w:t>
      </w:r>
    </w:p>
    <w:p>
      <w:pPr>
        <w:pStyle w:val="20"/>
        <w:rPr>
          <w:rFonts w:hint="eastAsia" w:asciiTheme="minorEastAsia" w:hAnsiTheme="minorEastAsia" w:eastAsiaTheme="minorEastAsia" w:cstheme="minorEastAsia"/>
          <w:kern w:val="0"/>
          <w:szCs w:val="22"/>
        </w:rPr>
      </w:pPr>
      <w:r>
        <w:rPr>
          <w:rFonts w:hint="eastAsia" w:asciiTheme="minorEastAsia" w:hAnsiTheme="minorEastAsia" w:eastAsiaTheme="minorEastAsia" w:cstheme="minorEastAsia"/>
          <w:kern w:val="0"/>
          <w:szCs w:val="22"/>
        </w:rPr>
        <w:t>羟基积雪草苷的分子式：C</w:t>
      </w:r>
      <w:r>
        <w:rPr>
          <w:rFonts w:hint="eastAsia" w:asciiTheme="minorEastAsia" w:hAnsiTheme="minorEastAsia" w:eastAsiaTheme="minorEastAsia" w:cstheme="minorEastAsia"/>
          <w:kern w:val="0"/>
          <w:szCs w:val="22"/>
          <w:vertAlign w:val="subscript"/>
        </w:rPr>
        <w:t>48</w:t>
      </w:r>
      <w:r>
        <w:rPr>
          <w:rFonts w:hint="eastAsia" w:asciiTheme="minorEastAsia" w:hAnsiTheme="minorEastAsia" w:eastAsiaTheme="minorEastAsia" w:cstheme="minorEastAsia"/>
          <w:kern w:val="0"/>
          <w:szCs w:val="22"/>
        </w:rPr>
        <w:t>H</w:t>
      </w:r>
      <w:r>
        <w:rPr>
          <w:rFonts w:hint="eastAsia" w:asciiTheme="minorEastAsia" w:hAnsiTheme="minorEastAsia" w:eastAsiaTheme="minorEastAsia" w:cstheme="minorEastAsia"/>
          <w:kern w:val="0"/>
          <w:szCs w:val="22"/>
          <w:vertAlign w:val="subscript"/>
        </w:rPr>
        <w:t>78</w:t>
      </w:r>
      <w:r>
        <w:rPr>
          <w:rFonts w:hint="eastAsia" w:asciiTheme="minorEastAsia" w:hAnsiTheme="minorEastAsia" w:eastAsiaTheme="minorEastAsia" w:cstheme="minorEastAsia"/>
          <w:kern w:val="0"/>
          <w:szCs w:val="22"/>
        </w:rPr>
        <w:t>O</w:t>
      </w:r>
      <w:r>
        <w:rPr>
          <w:rFonts w:hint="eastAsia" w:asciiTheme="minorEastAsia" w:hAnsiTheme="minorEastAsia" w:eastAsiaTheme="minorEastAsia" w:cstheme="minorEastAsia"/>
          <w:kern w:val="0"/>
          <w:szCs w:val="22"/>
          <w:vertAlign w:val="subscript"/>
        </w:rPr>
        <w:t>20</w:t>
      </w:r>
    </w:p>
    <w:p>
      <w:pPr>
        <w:pStyle w:val="20"/>
        <w:rPr>
          <w:rFonts w:hint="eastAsia" w:asciiTheme="minorEastAsia" w:hAnsiTheme="minorEastAsia" w:eastAsiaTheme="minorEastAsia" w:cstheme="minorEastAsia"/>
          <w:kern w:val="0"/>
          <w:szCs w:val="22"/>
        </w:rPr>
      </w:pPr>
      <w:r>
        <w:rPr>
          <w:rFonts w:hint="eastAsia" w:asciiTheme="minorEastAsia" w:hAnsiTheme="minorEastAsia" w:eastAsiaTheme="minorEastAsia" w:cstheme="minorEastAsia"/>
          <w:kern w:val="0"/>
          <w:szCs w:val="22"/>
        </w:rPr>
        <w:t>羟基积雪草苷的相对分子质量：975.12</w:t>
      </w:r>
    </w:p>
    <w:p>
      <w:pPr>
        <w:pStyle w:val="20"/>
        <w:rPr>
          <w:rFonts w:hint="eastAsia" w:ascii="Times New Roman" w:hAnsi="Times New Roman" w:eastAsia="宋体" w:cs="Times New Roman"/>
          <w:kern w:val="0"/>
          <w:szCs w:val="22"/>
        </w:rPr>
      </w:pPr>
      <w:r>
        <w:rPr>
          <w:rFonts w:hint="eastAsia" w:asciiTheme="minorEastAsia" w:hAnsiTheme="minorEastAsia" w:eastAsiaTheme="minorEastAsia" w:cstheme="minorEastAsia"/>
          <w:kern w:val="0"/>
          <w:szCs w:val="22"/>
        </w:rPr>
        <w:t>羟基积雪草苷的结构式：</w:t>
      </w:r>
      <w:r>
        <w:rPr>
          <w:rFonts w:hint="eastAsia" w:asciiTheme="minorEastAsia" w:hAnsiTheme="minorEastAsia" w:eastAsiaTheme="minorEastAsia" w:cstheme="minorEastAsia"/>
          <w:kern w:val="0"/>
          <w:szCs w:val="22"/>
        </w:rPr>
        <w:drawing>
          <wp:inline distT="0" distB="0" distL="0" distR="0">
            <wp:extent cx="834390" cy="99250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837421" cy="995560"/>
                    </a:xfrm>
                    <a:prstGeom prst="rect">
                      <a:avLst/>
                    </a:prstGeom>
                  </pic:spPr>
                </pic:pic>
              </a:graphicData>
            </a:graphic>
          </wp:inline>
        </w:drawing>
      </w:r>
    </w:p>
    <w:p>
      <w:pPr>
        <w:pStyle w:val="21"/>
        <w:spacing w:before="312" w:after="312"/>
        <w:rPr>
          <w:rFonts w:hAnsi="黑体" w:cs="黑体"/>
          <w:kern w:val="2"/>
          <w:szCs w:val="21"/>
        </w:rPr>
      </w:pPr>
    </w:p>
    <w:p>
      <w:pPr>
        <w:pStyle w:val="21"/>
        <w:spacing w:before="312" w:after="312"/>
        <w:rPr>
          <w:rFonts w:hAnsi="黑体" w:cs="黑体"/>
          <w:kern w:val="2"/>
          <w:szCs w:val="21"/>
        </w:rPr>
      </w:pPr>
      <w:r>
        <w:rPr>
          <w:rFonts w:hint="eastAsia" w:hAnsi="黑体" w:cs="黑体"/>
          <w:kern w:val="2"/>
          <w:szCs w:val="21"/>
        </w:rPr>
        <w:t>4要求</w:t>
      </w:r>
    </w:p>
    <w:p>
      <w:pPr>
        <w:pStyle w:val="21"/>
        <w:keepNext w:val="0"/>
        <w:keepLines w:val="0"/>
        <w:pageBreakBefore w:val="0"/>
        <w:widowControl/>
        <w:kinsoku/>
        <w:wordWrap/>
        <w:overflowPunct/>
        <w:topLinePunct w:val="0"/>
        <w:autoSpaceDE/>
        <w:autoSpaceDN/>
        <w:bidi w:val="0"/>
        <w:adjustRightInd/>
        <w:snapToGrid/>
        <w:spacing w:before="312" w:after="312"/>
        <w:ind w:firstLine="420" w:firstLineChars="200"/>
        <w:textAlignment w:val="auto"/>
        <w:outlineLvl w:val="1"/>
        <w:rPr>
          <w:rFonts w:hint="eastAsia" w:asciiTheme="minorEastAsia" w:hAnsiTheme="minorEastAsia" w:eastAsiaTheme="minorEastAsia" w:cstheme="minorEastAsia"/>
          <w:kern w:val="0"/>
          <w:sz w:val="21"/>
          <w:szCs w:val="22"/>
          <w:lang w:val="en-US" w:eastAsia="zh-CN" w:bidi="ar-SA"/>
        </w:rPr>
      </w:pPr>
      <w:r>
        <w:rPr>
          <w:rFonts w:hint="eastAsia" w:asciiTheme="minorEastAsia" w:hAnsiTheme="minorEastAsia" w:eastAsiaTheme="minorEastAsia" w:cstheme="minorEastAsia"/>
          <w:kern w:val="0"/>
          <w:sz w:val="21"/>
          <w:szCs w:val="22"/>
          <w:lang w:val="en-US" w:eastAsia="zh-CN" w:bidi="ar-SA"/>
        </w:rPr>
        <w:t>积雪草提取物的理化、卫生及微生物指标应符合表1要求。</w:t>
      </w:r>
    </w:p>
    <w:tbl>
      <w:tblPr>
        <w:tblStyle w:val="10"/>
        <w:tblW w:w="91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40"/>
        <w:gridCol w:w="2841"/>
        <w:gridCol w:w="35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81" w:type="dxa"/>
            <w:gridSpan w:val="2"/>
          </w:tcPr>
          <w:p>
            <w:pPr>
              <w:pStyle w:val="17"/>
              <w:framePr w:hSpace="0" w:vSpace="0" w:wrap="auto" w:vAnchor="margin" w:hAnchor="text" w:yAlign="inline"/>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检测项目</w:t>
            </w:r>
          </w:p>
        </w:tc>
        <w:tc>
          <w:tcPr>
            <w:tcW w:w="3507" w:type="dxa"/>
          </w:tcPr>
          <w:p>
            <w:pPr>
              <w:pStyle w:val="17"/>
              <w:framePr w:hSpace="0" w:vSpace="0" w:wrap="auto" w:vAnchor="margin" w:hAnchor="text" w:yAlign="inline"/>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指标要求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vMerge w:val="restart"/>
            <w:vAlign w:val="center"/>
          </w:tcPr>
          <w:p>
            <w:pPr>
              <w:pStyle w:val="17"/>
              <w:framePr w:hSpace="0" w:vSpace="0" w:wrap="auto" w:vAnchor="margin" w:hAnchor="text" w:yAlign="inline"/>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理化性质</w:t>
            </w:r>
          </w:p>
        </w:tc>
        <w:tc>
          <w:tcPr>
            <w:tcW w:w="2841" w:type="dxa"/>
          </w:tcPr>
          <w:p>
            <w:pPr>
              <w:pStyle w:val="17"/>
              <w:framePr w:hSpace="0" w:vSpace="0" w:wrap="auto" w:vAnchor="margin" w:hAnchor="text" w:yAlign="inline"/>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外观</w:t>
            </w:r>
          </w:p>
        </w:tc>
        <w:tc>
          <w:tcPr>
            <w:tcW w:w="3507" w:type="dxa"/>
          </w:tcPr>
          <w:p>
            <w:pPr>
              <w:pStyle w:val="17"/>
              <w:framePr w:hSpace="0" w:vSpace="0" w:wrap="auto" w:vAnchor="margin" w:hAnchor="text" w:yAlign="inline"/>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淡黄色至黄色澄清液体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vMerge w:val="continue"/>
            <w:vAlign w:val="center"/>
          </w:tcPr>
          <w:p>
            <w:pPr>
              <w:pStyle w:val="17"/>
              <w:framePr w:hSpace="0" w:vSpace="0" w:wrap="auto" w:vAnchor="margin" w:hAnchor="text" w:yAlign="inline"/>
              <w:jc w:val="center"/>
              <w:rPr>
                <w:rFonts w:hint="eastAsia" w:asciiTheme="minorEastAsia" w:hAnsiTheme="minorEastAsia" w:eastAsiaTheme="minorEastAsia" w:cstheme="minorEastAsia"/>
                <w:sz w:val="18"/>
                <w:szCs w:val="18"/>
              </w:rPr>
            </w:pPr>
          </w:p>
        </w:tc>
        <w:tc>
          <w:tcPr>
            <w:tcW w:w="2841" w:type="dxa"/>
          </w:tcPr>
          <w:p>
            <w:pPr>
              <w:pStyle w:val="17"/>
              <w:framePr w:hSpace="0" w:vSpace="0" w:wrap="auto" w:vAnchor="margin" w:hAnchor="text" w:yAlign="inline"/>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气味</w:t>
            </w:r>
          </w:p>
        </w:tc>
        <w:tc>
          <w:tcPr>
            <w:tcW w:w="3507" w:type="dxa"/>
          </w:tcPr>
          <w:p>
            <w:pPr>
              <w:pStyle w:val="17"/>
              <w:framePr w:hSpace="0" w:vSpace="0" w:wrap="auto" w:vAnchor="margin" w:hAnchor="text" w:yAlign="inline"/>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有特征气味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vMerge w:val="continue"/>
            <w:vAlign w:val="center"/>
          </w:tcPr>
          <w:p>
            <w:pPr>
              <w:pStyle w:val="17"/>
              <w:framePr w:hSpace="0" w:vSpace="0" w:wrap="auto" w:vAnchor="margin" w:hAnchor="text" w:yAlign="inline"/>
              <w:jc w:val="center"/>
              <w:rPr>
                <w:rFonts w:hint="eastAsia" w:asciiTheme="minorEastAsia" w:hAnsiTheme="minorEastAsia" w:eastAsiaTheme="minorEastAsia" w:cstheme="minorEastAsia"/>
                <w:sz w:val="18"/>
                <w:szCs w:val="18"/>
              </w:rPr>
            </w:pPr>
          </w:p>
        </w:tc>
        <w:tc>
          <w:tcPr>
            <w:tcW w:w="2841" w:type="dxa"/>
          </w:tcPr>
          <w:p>
            <w:pPr>
              <w:pStyle w:val="17"/>
              <w:framePr w:hSpace="0" w:vSpace="0" w:wrap="auto" w:vAnchor="margin" w:hAnchor="text" w:yAlign="inline"/>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积雪草总苷（mg/ml）（以积雪草苷，羟基积雪草苷总和计）</w:t>
            </w:r>
          </w:p>
        </w:tc>
        <w:tc>
          <w:tcPr>
            <w:tcW w:w="3507" w:type="dxa"/>
            <w:vAlign w:val="center"/>
          </w:tcPr>
          <w:p>
            <w:pPr>
              <w:pStyle w:val="17"/>
              <w:framePr w:hSpace="0" w:vSpace="0" w:wrap="auto" w:vAnchor="margin" w:hAnchor="text" w:yAlign="inline"/>
              <w:jc w:val="left"/>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vMerge w:val="restart"/>
            <w:vAlign w:val="center"/>
          </w:tcPr>
          <w:p>
            <w:pPr>
              <w:pStyle w:val="17"/>
              <w:framePr w:hSpace="0" w:vSpace="0" w:wrap="auto" w:vAnchor="margin" w:hAnchor="text" w:yAlign="inline"/>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卫生指标</w:t>
            </w:r>
          </w:p>
        </w:tc>
        <w:tc>
          <w:tcPr>
            <w:tcW w:w="2841" w:type="dxa"/>
          </w:tcPr>
          <w:p>
            <w:pPr>
              <w:pStyle w:val="17"/>
              <w:framePr w:hSpace="0" w:vSpace="0" w:wrap="auto" w:vAnchor="margin" w:hAnchor="text" w:yAlign="inline"/>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铅（Pb）</w:t>
            </w:r>
          </w:p>
        </w:tc>
        <w:tc>
          <w:tcPr>
            <w:tcW w:w="3507" w:type="dxa"/>
            <w:vMerge w:val="restart"/>
          </w:tcPr>
          <w:p>
            <w:pPr>
              <w:pStyle w:val="17"/>
              <w:framePr w:hSpace="0" w:vSpace="0" w:wrap="auto" w:vAnchor="margin" w:hAnchor="text" w:yAlign="inline"/>
              <w:rPr>
                <w:rFonts w:hint="eastAsia" w:asciiTheme="minorEastAsia" w:hAnsiTheme="minorEastAsia" w:eastAsiaTheme="minorEastAsia" w:cstheme="minorEastAsia"/>
                <w:sz w:val="18"/>
                <w:szCs w:val="18"/>
              </w:rPr>
            </w:pPr>
          </w:p>
          <w:p>
            <w:pPr>
              <w:pStyle w:val="17"/>
              <w:framePr w:hSpace="0" w:vSpace="0" w:wrap="auto" w:vAnchor="margin" w:hAnchor="text" w:yAlign="inline"/>
              <w:rPr>
                <w:rFonts w:hint="eastAsia" w:asciiTheme="minorEastAsia" w:hAnsiTheme="minorEastAsia" w:eastAsiaTheme="minorEastAsia" w:cstheme="minorEastAsia"/>
                <w:sz w:val="18"/>
                <w:szCs w:val="18"/>
              </w:rPr>
            </w:pPr>
          </w:p>
          <w:p>
            <w:pPr>
              <w:pStyle w:val="17"/>
              <w:framePr w:hSpace="0" w:vSpace="0" w:wrap="auto" w:vAnchor="margin" w:hAnchor="text" w:yAlign="inline"/>
              <w:rPr>
                <w:rFonts w:hint="eastAsia" w:asciiTheme="minorEastAsia" w:hAnsiTheme="minorEastAsia" w:eastAsiaTheme="minorEastAsia" w:cstheme="minorEastAsia"/>
                <w:sz w:val="18"/>
                <w:szCs w:val="18"/>
              </w:rPr>
            </w:pPr>
          </w:p>
          <w:p>
            <w:pPr>
              <w:pStyle w:val="17"/>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符合《化妆品安全技术规范（2015年版）》的规定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vMerge w:val="continue"/>
            <w:vAlign w:val="center"/>
          </w:tcPr>
          <w:p>
            <w:pPr>
              <w:pStyle w:val="17"/>
              <w:framePr w:hSpace="0" w:vSpace="0" w:wrap="auto" w:vAnchor="margin" w:hAnchor="text" w:yAlign="inline"/>
              <w:jc w:val="center"/>
              <w:rPr>
                <w:rFonts w:hint="eastAsia" w:asciiTheme="minorEastAsia" w:hAnsiTheme="minorEastAsia" w:eastAsiaTheme="minorEastAsia" w:cstheme="minorEastAsia"/>
                <w:sz w:val="18"/>
                <w:szCs w:val="18"/>
              </w:rPr>
            </w:pPr>
          </w:p>
        </w:tc>
        <w:tc>
          <w:tcPr>
            <w:tcW w:w="2841" w:type="dxa"/>
          </w:tcPr>
          <w:p>
            <w:pPr>
              <w:pStyle w:val="17"/>
              <w:framePr w:hSpace="0" w:vSpace="0" w:wrap="auto" w:vAnchor="margin" w:hAnchor="text" w:yAlign="inline"/>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汞（Hg）</w:t>
            </w:r>
          </w:p>
        </w:tc>
        <w:tc>
          <w:tcPr>
            <w:tcW w:w="3507" w:type="dxa"/>
            <w:vMerge w:val="continue"/>
          </w:tcPr>
          <w:p>
            <w:pPr>
              <w:pStyle w:val="17"/>
              <w:rPr>
                <w:rFonts w:hint="eastAsia"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vMerge w:val="continue"/>
            <w:vAlign w:val="center"/>
          </w:tcPr>
          <w:p>
            <w:pPr>
              <w:pStyle w:val="17"/>
              <w:framePr w:hSpace="0" w:vSpace="0" w:wrap="auto" w:vAnchor="margin" w:hAnchor="text" w:yAlign="inline"/>
              <w:jc w:val="center"/>
              <w:rPr>
                <w:rFonts w:hint="eastAsia" w:asciiTheme="minorEastAsia" w:hAnsiTheme="minorEastAsia" w:eastAsiaTheme="minorEastAsia" w:cstheme="minorEastAsia"/>
                <w:sz w:val="18"/>
                <w:szCs w:val="18"/>
              </w:rPr>
            </w:pPr>
          </w:p>
        </w:tc>
        <w:tc>
          <w:tcPr>
            <w:tcW w:w="2841" w:type="dxa"/>
          </w:tcPr>
          <w:p>
            <w:pPr>
              <w:pStyle w:val="17"/>
              <w:framePr w:hSpace="0" w:vSpace="0" w:wrap="auto" w:vAnchor="margin" w:hAnchor="text" w:yAlign="inline"/>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砷（As）</w:t>
            </w:r>
          </w:p>
        </w:tc>
        <w:tc>
          <w:tcPr>
            <w:tcW w:w="3507" w:type="dxa"/>
            <w:vMerge w:val="continue"/>
          </w:tcPr>
          <w:p>
            <w:pPr>
              <w:pStyle w:val="17"/>
              <w:rPr>
                <w:rFonts w:hint="eastAsia"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vMerge w:val="continue"/>
            <w:vAlign w:val="center"/>
          </w:tcPr>
          <w:p>
            <w:pPr>
              <w:pStyle w:val="17"/>
              <w:framePr w:hSpace="0" w:vSpace="0" w:wrap="auto" w:vAnchor="margin" w:hAnchor="text" w:yAlign="inline"/>
              <w:jc w:val="center"/>
              <w:rPr>
                <w:rFonts w:hint="eastAsia" w:asciiTheme="minorEastAsia" w:hAnsiTheme="minorEastAsia" w:eastAsiaTheme="minorEastAsia" w:cstheme="minorEastAsia"/>
                <w:sz w:val="18"/>
                <w:szCs w:val="18"/>
              </w:rPr>
            </w:pPr>
          </w:p>
        </w:tc>
        <w:tc>
          <w:tcPr>
            <w:tcW w:w="2841" w:type="dxa"/>
          </w:tcPr>
          <w:p>
            <w:pPr>
              <w:pStyle w:val="17"/>
              <w:framePr w:hSpace="0" w:vSpace="0" w:wrap="auto" w:vAnchor="margin" w:hAnchor="text" w:yAlign="inline"/>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镉（Cd）</w:t>
            </w:r>
          </w:p>
        </w:tc>
        <w:tc>
          <w:tcPr>
            <w:tcW w:w="3507" w:type="dxa"/>
            <w:vMerge w:val="continue"/>
          </w:tcPr>
          <w:p>
            <w:pPr>
              <w:pStyle w:val="17"/>
              <w:rPr>
                <w:rFonts w:hint="eastAsia"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vMerge w:val="restart"/>
            <w:vAlign w:val="center"/>
          </w:tcPr>
          <w:p>
            <w:pPr>
              <w:pStyle w:val="17"/>
              <w:framePr w:hSpace="0" w:vSpace="0" w:wrap="auto" w:vAnchor="margin" w:hAnchor="text" w:yAlign="inline"/>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微生物指标</w:t>
            </w:r>
          </w:p>
        </w:tc>
        <w:tc>
          <w:tcPr>
            <w:tcW w:w="2841" w:type="dxa"/>
          </w:tcPr>
          <w:p>
            <w:pPr>
              <w:pStyle w:val="17"/>
              <w:framePr w:hSpace="0" w:vSpace="0" w:wrap="auto" w:vAnchor="margin" w:hAnchor="text" w:yAlign="inline"/>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菌落总数（CFU/g）</w:t>
            </w:r>
          </w:p>
        </w:tc>
        <w:tc>
          <w:tcPr>
            <w:tcW w:w="3507" w:type="dxa"/>
            <w:vMerge w:val="continue"/>
          </w:tcPr>
          <w:p>
            <w:pPr>
              <w:pStyle w:val="17"/>
              <w:rPr>
                <w:rFonts w:hint="eastAsia"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vMerge w:val="continue"/>
          </w:tcPr>
          <w:p>
            <w:pPr>
              <w:pStyle w:val="17"/>
              <w:framePr w:hSpace="0" w:vSpace="0" w:wrap="auto" w:vAnchor="margin" w:hAnchor="text" w:yAlign="inline"/>
              <w:rPr>
                <w:rFonts w:hint="eastAsia" w:asciiTheme="minorEastAsia" w:hAnsiTheme="minorEastAsia" w:eastAsiaTheme="minorEastAsia" w:cstheme="minorEastAsia"/>
                <w:sz w:val="18"/>
                <w:szCs w:val="18"/>
              </w:rPr>
            </w:pPr>
          </w:p>
        </w:tc>
        <w:tc>
          <w:tcPr>
            <w:tcW w:w="2841" w:type="dxa"/>
          </w:tcPr>
          <w:p>
            <w:pPr>
              <w:pStyle w:val="17"/>
              <w:framePr w:hSpace="0" w:vSpace="0" w:wrap="auto" w:vAnchor="margin" w:hAnchor="text" w:yAlign="inline"/>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霉菌及酵母菌总数（CFU/g）</w:t>
            </w:r>
          </w:p>
        </w:tc>
        <w:tc>
          <w:tcPr>
            <w:tcW w:w="3507" w:type="dxa"/>
            <w:vMerge w:val="continue"/>
          </w:tcPr>
          <w:p>
            <w:pPr>
              <w:pStyle w:val="17"/>
              <w:rPr>
                <w:rFonts w:hint="eastAsia"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vMerge w:val="continue"/>
          </w:tcPr>
          <w:p>
            <w:pPr>
              <w:pStyle w:val="17"/>
              <w:framePr w:hSpace="0" w:vSpace="0" w:wrap="auto" w:vAnchor="margin" w:hAnchor="text" w:yAlign="inline"/>
              <w:rPr>
                <w:rFonts w:hint="eastAsia" w:asciiTheme="minorEastAsia" w:hAnsiTheme="minorEastAsia" w:eastAsiaTheme="minorEastAsia" w:cstheme="minorEastAsia"/>
                <w:sz w:val="18"/>
                <w:szCs w:val="18"/>
              </w:rPr>
            </w:pPr>
          </w:p>
        </w:tc>
        <w:tc>
          <w:tcPr>
            <w:tcW w:w="2841" w:type="dxa"/>
          </w:tcPr>
          <w:p>
            <w:pPr>
              <w:pStyle w:val="17"/>
              <w:framePr w:hSpace="0" w:vSpace="0" w:wrap="auto" w:vAnchor="margin" w:hAnchor="text" w:yAlign="inline"/>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金黄色葡萄球菌</w:t>
            </w:r>
          </w:p>
        </w:tc>
        <w:tc>
          <w:tcPr>
            <w:tcW w:w="3507" w:type="dxa"/>
            <w:vMerge w:val="continue"/>
          </w:tcPr>
          <w:p>
            <w:pPr>
              <w:pStyle w:val="17"/>
              <w:framePr w:hSpace="0" w:vSpace="0" w:wrap="auto" w:vAnchor="margin" w:hAnchor="text" w:yAlign="inline"/>
              <w:rPr>
                <w:rFonts w:hint="eastAsia"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vMerge w:val="continue"/>
          </w:tcPr>
          <w:p>
            <w:pPr>
              <w:pStyle w:val="17"/>
              <w:framePr w:hSpace="0" w:vSpace="0" w:wrap="auto" w:vAnchor="margin" w:hAnchor="text" w:yAlign="inline"/>
              <w:rPr>
                <w:rFonts w:hint="eastAsia" w:asciiTheme="minorEastAsia" w:hAnsiTheme="minorEastAsia" w:eastAsiaTheme="minorEastAsia" w:cstheme="minorEastAsia"/>
                <w:sz w:val="18"/>
                <w:szCs w:val="18"/>
              </w:rPr>
            </w:pPr>
          </w:p>
        </w:tc>
        <w:tc>
          <w:tcPr>
            <w:tcW w:w="2841" w:type="dxa"/>
          </w:tcPr>
          <w:p>
            <w:pPr>
              <w:pStyle w:val="17"/>
              <w:framePr w:hSpace="0" w:vSpace="0" w:wrap="auto" w:vAnchor="margin" w:hAnchor="text" w:yAlign="inline"/>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耐热大肠杆菌群</w:t>
            </w:r>
          </w:p>
        </w:tc>
        <w:tc>
          <w:tcPr>
            <w:tcW w:w="3507" w:type="dxa"/>
            <w:vMerge w:val="continue"/>
          </w:tcPr>
          <w:p>
            <w:pPr>
              <w:pStyle w:val="17"/>
              <w:framePr w:hSpace="0" w:vSpace="0" w:wrap="auto" w:vAnchor="margin" w:hAnchor="text" w:yAlign="inline"/>
              <w:rPr>
                <w:rFonts w:hint="eastAsia"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vMerge w:val="continue"/>
          </w:tcPr>
          <w:p>
            <w:pPr>
              <w:pStyle w:val="17"/>
              <w:framePr w:hSpace="0" w:vSpace="0" w:wrap="auto" w:vAnchor="margin" w:hAnchor="text" w:yAlign="inline"/>
              <w:rPr>
                <w:rFonts w:hint="eastAsia" w:asciiTheme="minorEastAsia" w:hAnsiTheme="minorEastAsia" w:eastAsiaTheme="minorEastAsia" w:cstheme="minorEastAsia"/>
                <w:sz w:val="18"/>
                <w:szCs w:val="18"/>
              </w:rPr>
            </w:pPr>
          </w:p>
        </w:tc>
        <w:tc>
          <w:tcPr>
            <w:tcW w:w="2841" w:type="dxa"/>
          </w:tcPr>
          <w:p>
            <w:pPr>
              <w:pStyle w:val="17"/>
              <w:framePr w:hSpace="0" w:vSpace="0" w:wrap="auto" w:vAnchor="margin" w:hAnchor="text" w:yAlign="inline"/>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铜绿假单胞菌</w:t>
            </w:r>
          </w:p>
        </w:tc>
        <w:tc>
          <w:tcPr>
            <w:tcW w:w="3507" w:type="dxa"/>
            <w:vMerge w:val="continue"/>
          </w:tcPr>
          <w:p>
            <w:pPr>
              <w:pStyle w:val="17"/>
              <w:framePr w:hSpace="0" w:vSpace="0" w:wrap="auto" w:vAnchor="margin" w:hAnchor="text" w:yAlign="inline"/>
              <w:rPr>
                <w:rFonts w:hint="eastAsia" w:asciiTheme="minorEastAsia" w:hAnsiTheme="minorEastAsia" w:eastAsiaTheme="minorEastAsia" w:cstheme="minorEastAsia"/>
                <w:sz w:val="18"/>
                <w:szCs w:val="18"/>
              </w:rPr>
            </w:pPr>
          </w:p>
        </w:tc>
      </w:tr>
    </w:tbl>
    <w:p>
      <w:pPr>
        <w:pStyle w:val="17"/>
        <w:framePr w:hSpace="0" w:vSpace="0" w:wrap="auto" w:vAnchor="margin" w:hAnchor="text" w:yAlign="inline"/>
        <w:rPr>
          <w:rFonts w:hint="eastAsia" w:asciiTheme="minorEastAsia" w:hAnsiTheme="minorEastAsia" w:eastAsiaTheme="minorEastAsia" w:cstheme="minorEastAsia"/>
          <w:sz w:val="18"/>
          <w:szCs w:val="18"/>
        </w:rPr>
      </w:pPr>
    </w:p>
    <w:p>
      <w:pPr>
        <w:pStyle w:val="21"/>
        <w:spacing w:before="312" w:after="312"/>
        <w:rPr>
          <w:rFonts w:hAnsi="黑体" w:cs="黑体"/>
          <w:kern w:val="2"/>
          <w:szCs w:val="21"/>
        </w:rPr>
      </w:pPr>
      <w:r>
        <w:rPr>
          <w:rFonts w:hAnsi="黑体" w:cs="黑体"/>
          <w:kern w:val="2"/>
          <w:szCs w:val="21"/>
        </w:rPr>
        <w:t xml:space="preserve">5   </w:t>
      </w:r>
      <w:r>
        <w:rPr>
          <w:rFonts w:hint="eastAsia" w:hAnsi="黑体" w:cs="黑体"/>
          <w:kern w:val="2"/>
          <w:szCs w:val="21"/>
        </w:rPr>
        <w:t>检测方法</w:t>
      </w:r>
    </w:p>
    <w:p>
      <w:pPr>
        <w:pStyle w:val="21"/>
        <w:spacing w:before="312" w:after="312"/>
        <w:rPr>
          <w:rFonts w:hAnsi="黑体" w:cs="黑体"/>
          <w:kern w:val="2"/>
          <w:szCs w:val="21"/>
        </w:rPr>
      </w:pPr>
      <w:r>
        <w:rPr>
          <w:rFonts w:hAnsi="黑体" w:cs="黑体"/>
          <w:kern w:val="2"/>
          <w:szCs w:val="21"/>
        </w:rPr>
        <w:t xml:space="preserve">5.1 </w:t>
      </w:r>
      <w:r>
        <w:rPr>
          <w:rFonts w:hint="eastAsia" w:hAnsi="黑体" w:cs="黑体"/>
          <w:kern w:val="2"/>
          <w:szCs w:val="21"/>
        </w:rPr>
        <w:t>外观</w:t>
      </w:r>
    </w:p>
    <w:p>
      <w:pPr>
        <w:pStyle w:val="21"/>
        <w:keepNext w:val="0"/>
        <w:keepLines w:val="0"/>
        <w:pageBreakBefore w:val="0"/>
        <w:widowControl/>
        <w:kinsoku/>
        <w:wordWrap/>
        <w:overflowPunct/>
        <w:topLinePunct w:val="0"/>
        <w:autoSpaceDE/>
        <w:autoSpaceDN/>
        <w:bidi w:val="0"/>
        <w:adjustRightInd/>
        <w:snapToGrid/>
        <w:spacing w:before="312" w:after="312"/>
        <w:ind w:firstLine="420" w:firstLineChars="200"/>
        <w:textAlignment w:val="auto"/>
        <w:outlineLvl w:val="1"/>
        <w:rPr>
          <w:rFonts w:hint="eastAsia" w:asciiTheme="minorEastAsia" w:hAnsiTheme="minorEastAsia" w:eastAsiaTheme="minorEastAsia" w:cstheme="minorEastAsia"/>
          <w:kern w:val="2"/>
          <w:szCs w:val="21"/>
        </w:rPr>
      </w:pPr>
      <w:r>
        <w:rPr>
          <w:rFonts w:hint="eastAsia" w:asciiTheme="minorEastAsia" w:hAnsiTheme="minorEastAsia" w:eastAsiaTheme="minorEastAsia" w:cstheme="minorEastAsia"/>
          <w:kern w:val="2"/>
          <w:szCs w:val="21"/>
        </w:rPr>
        <w:t>在非直射阳光条件下，取样品进行目测。</w:t>
      </w:r>
    </w:p>
    <w:p>
      <w:pPr>
        <w:pStyle w:val="21"/>
        <w:spacing w:before="312" w:after="312"/>
        <w:rPr>
          <w:rFonts w:hAnsi="黑体" w:cs="黑体"/>
          <w:kern w:val="2"/>
          <w:szCs w:val="21"/>
        </w:rPr>
      </w:pPr>
      <w:r>
        <w:rPr>
          <w:rFonts w:hAnsi="黑体" w:cs="黑体"/>
          <w:kern w:val="2"/>
          <w:szCs w:val="21"/>
        </w:rPr>
        <w:t xml:space="preserve">5.2 </w:t>
      </w:r>
      <w:r>
        <w:rPr>
          <w:rFonts w:hint="eastAsia" w:hAnsi="黑体" w:cs="黑体"/>
          <w:kern w:val="2"/>
          <w:szCs w:val="21"/>
        </w:rPr>
        <w:t>气味</w:t>
      </w:r>
    </w:p>
    <w:p>
      <w:pPr>
        <w:pStyle w:val="21"/>
        <w:spacing w:before="312" w:after="312"/>
        <w:rPr>
          <w:rFonts w:hAnsi="黑体" w:cs="黑体"/>
          <w:kern w:val="2"/>
          <w:szCs w:val="21"/>
        </w:rPr>
      </w:pPr>
      <w:r>
        <w:rPr>
          <w:rFonts w:hint="eastAsia" w:hAnsi="黑体" w:cs="黑体"/>
          <w:kern w:val="2"/>
          <w:szCs w:val="21"/>
        </w:rPr>
        <w:t>5.2.1仪器与试剂</w:t>
      </w:r>
    </w:p>
    <w:p>
      <w:pPr>
        <w:pStyle w:val="20"/>
        <w:rPr>
          <w:rFonts w:hint="eastAsia" w:asciiTheme="minorEastAsia" w:hAnsiTheme="minorEastAsia" w:eastAsiaTheme="minorEastAsia" w:cstheme="minorEastAsia"/>
          <w:kern w:val="0"/>
          <w:szCs w:val="22"/>
          <w:lang w:eastAsia="zh-CN"/>
        </w:rPr>
      </w:pPr>
      <w:r>
        <w:rPr>
          <w:rFonts w:hint="eastAsia" w:asciiTheme="minorEastAsia" w:hAnsiTheme="minorEastAsia" w:eastAsiaTheme="minorEastAsia" w:cstheme="minorEastAsia"/>
          <w:kern w:val="0"/>
          <w:szCs w:val="22"/>
          <w:lang w:val="en-US" w:eastAsia="zh-CN"/>
        </w:rPr>
        <w:t>a）</w:t>
      </w:r>
      <w:r>
        <w:rPr>
          <w:rFonts w:hint="eastAsia" w:asciiTheme="minorEastAsia" w:hAnsiTheme="minorEastAsia" w:eastAsiaTheme="minorEastAsia" w:cstheme="minorEastAsia"/>
          <w:kern w:val="0"/>
          <w:szCs w:val="22"/>
        </w:rPr>
        <w:t>评香试条</w:t>
      </w:r>
      <w:r>
        <w:rPr>
          <w:rFonts w:hint="eastAsia" w:asciiTheme="minorEastAsia" w:hAnsiTheme="minorEastAsia" w:eastAsiaTheme="minorEastAsia" w:cstheme="minorEastAsia"/>
          <w:kern w:val="0"/>
          <w:szCs w:val="22"/>
          <w:lang w:eastAsia="zh-CN"/>
        </w:rPr>
        <w:t>；</w:t>
      </w:r>
    </w:p>
    <w:p>
      <w:pPr>
        <w:pStyle w:val="20"/>
        <w:rPr>
          <w:rFonts w:hint="eastAsia" w:asciiTheme="minorEastAsia" w:hAnsiTheme="minorEastAsia" w:eastAsiaTheme="minorEastAsia" w:cstheme="minorEastAsia"/>
          <w:kern w:val="0"/>
          <w:szCs w:val="22"/>
          <w:lang w:eastAsia="zh-CN"/>
        </w:rPr>
      </w:pPr>
      <w:r>
        <w:rPr>
          <w:rFonts w:hint="eastAsia" w:asciiTheme="minorEastAsia" w:hAnsiTheme="minorEastAsia" w:eastAsiaTheme="minorEastAsia" w:cstheme="minorEastAsia"/>
          <w:kern w:val="0"/>
          <w:szCs w:val="22"/>
          <w:lang w:val="en-US" w:eastAsia="zh-CN"/>
        </w:rPr>
        <w:t>b）</w:t>
      </w:r>
      <w:r>
        <w:rPr>
          <w:rFonts w:hint="eastAsia" w:asciiTheme="minorEastAsia" w:hAnsiTheme="minorEastAsia" w:eastAsiaTheme="minorEastAsia" w:cstheme="minorEastAsia"/>
          <w:kern w:val="0"/>
          <w:szCs w:val="22"/>
        </w:rPr>
        <w:t>敞口烧杯</w:t>
      </w:r>
      <w:r>
        <w:rPr>
          <w:rFonts w:hint="eastAsia" w:asciiTheme="minorEastAsia" w:hAnsiTheme="minorEastAsia" w:eastAsiaTheme="minorEastAsia" w:cstheme="minorEastAsia"/>
          <w:kern w:val="0"/>
          <w:szCs w:val="22"/>
          <w:lang w:eastAsia="zh-CN"/>
        </w:rPr>
        <w:t>；</w:t>
      </w:r>
    </w:p>
    <w:p>
      <w:pPr>
        <w:pStyle w:val="20"/>
        <w:rPr>
          <w:rFonts w:hint="eastAsia" w:asciiTheme="minorEastAsia" w:hAnsiTheme="minorEastAsia" w:eastAsiaTheme="minorEastAsia" w:cstheme="minorEastAsia"/>
          <w:kern w:val="0"/>
          <w:szCs w:val="22"/>
        </w:rPr>
      </w:pPr>
      <w:r>
        <w:rPr>
          <w:rFonts w:hint="eastAsia" w:asciiTheme="minorEastAsia" w:hAnsiTheme="minorEastAsia" w:eastAsiaTheme="minorEastAsia" w:cstheme="minorEastAsia"/>
          <w:kern w:val="0"/>
          <w:szCs w:val="22"/>
          <w:lang w:val="en-US" w:eastAsia="zh-CN"/>
        </w:rPr>
        <w:t>c</w:t>
      </w:r>
      <w:r>
        <w:rPr>
          <w:rFonts w:hint="eastAsia" w:asciiTheme="minorEastAsia" w:hAnsiTheme="minorEastAsia" w:eastAsiaTheme="minorEastAsia" w:cstheme="minorEastAsia"/>
          <w:kern w:val="0"/>
          <w:szCs w:val="22"/>
          <w:lang w:eastAsia="zh-CN"/>
        </w:rPr>
        <w:t>）</w:t>
      </w:r>
      <w:r>
        <w:rPr>
          <w:rFonts w:hint="eastAsia" w:asciiTheme="minorEastAsia" w:hAnsiTheme="minorEastAsia" w:eastAsiaTheme="minorEastAsia" w:cstheme="minorEastAsia"/>
          <w:kern w:val="0"/>
          <w:szCs w:val="22"/>
          <w:lang w:val="en-US" w:eastAsia="zh-CN"/>
        </w:rPr>
        <w:t>积雪草提取物</w:t>
      </w:r>
      <w:r>
        <w:rPr>
          <w:rFonts w:hint="eastAsia" w:asciiTheme="minorEastAsia" w:hAnsiTheme="minorEastAsia" w:eastAsiaTheme="minorEastAsia" w:cstheme="minorEastAsia"/>
          <w:kern w:val="0"/>
          <w:szCs w:val="22"/>
        </w:rPr>
        <w:t>标准品</w:t>
      </w:r>
      <w:r>
        <w:rPr>
          <w:rFonts w:hint="eastAsia" w:asciiTheme="minorEastAsia" w:hAnsiTheme="minorEastAsia" w:eastAsiaTheme="minorEastAsia" w:cstheme="minorEastAsia"/>
          <w:kern w:val="0"/>
          <w:szCs w:val="22"/>
          <w:lang w:eastAsia="zh-CN"/>
        </w:rPr>
        <w:t>；</w:t>
      </w:r>
      <w:r>
        <w:rPr>
          <w:rFonts w:hint="eastAsia" w:asciiTheme="minorEastAsia" w:hAnsiTheme="minorEastAsia" w:eastAsiaTheme="minorEastAsia" w:cstheme="minorEastAsia"/>
          <w:kern w:val="0"/>
          <w:szCs w:val="22"/>
        </w:rPr>
        <w:t xml:space="preserve"> </w:t>
      </w:r>
    </w:p>
    <w:p>
      <w:pPr>
        <w:pStyle w:val="20"/>
        <w:rPr>
          <w:rFonts w:hint="eastAsia" w:asciiTheme="minorEastAsia" w:hAnsiTheme="minorEastAsia" w:eastAsiaTheme="minorEastAsia" w:cstheme="minorEastAsia"/>
          <w:kern w:val="0"/>
          <w:szCs w:val="22"/>
          <w:lang w:eastAsia="zh-CN"/>
        </w:rPr>
      </w:pPr>
      <w:r>
        <w:rPr>
          <w:rFonts w:hint="eastAsia" w:asciiTheme="minorEastAsia" w:hAnsiTheme="minorEastAsia" w:eastAsiaTheme="minorEastAsia" w:cstheme="minorEastAsia"/>
          <w:kern w:val="0"/>
          <w:szCs w:val="22"/>
          <w:lang w:val="en-US" w:eastAsia="zh-CN"/>
        </w:rPr>
        <w:t>d）</w:t>
      </w:r>
      <w:r>
        <w:rPr>
          <w:rFonts w:hint="eastAsia" w:asciiTheme="minorEastAsia" w:hAnsiTheme="minorEastAsia" w:eastAsiaTheme="minorEastAsia" w:cstheme="minorEastAsia"/>
          <w:kern w:val="0"/>
          <w:szCs w:val="22"/>
        </w:rPr>
        <w:t>样品容器</w:t>
      </w:r>
      <w:r>
        <w:rPr>
          <w:rFonts w:hint="eastAsia" w:asciiTheme="minorEastAsia" w:hAnsiTheme="minorEastAsia" w:eastAsiaTheme="minorEastAsia" w:cstheme="minorEastAsia"/>
          <w:kern w:val="0"/>
          <w:szCs w:val="22"/>
          <w:lang w:eastAsia="zh-CN"/>
        </w:rPr>
        <w:t>。</w:t>
      </w:r>
    </w:p>
    <w:p>
      <w:pPr>
        <w:pStyle w:val="21"/>
        <w:spacing w:before="312" w:after="312"/>
        <w:rPr>
          <w:rFonts w:hAnsi="黑体" w:cs="黑体"/>
          <w:kern w:val="2"/>
          <w:szCs w:val="21"/>
        </w:rPr>
      </w:pPr>
      <w:r>
        <w:rPr>
          <w:rFonts w:hint="eastAsia" w:hAnsi="黑体" w:cs="黑体"/>
          <w:kern w:val="2"/>
          <w:szCs w:val="21"/>
        </w:rPr>
        <w:t>5.2.2测定步骤</w:t>
      </w:r>
    </w:p>
    <w:p>
      <w:pPr>
        <w:pStyle w:val="21"/>
        <w:spacing w:before="312" w:after="312"/>
        <w:rPr>
          <w:rFonts w:hAnsi="黑体" w:cs="黑体"/>
          <w:kern w:val="2"/>
          <w:szCs w:val="21"/>
        </w:rPr>
      </w:pPr>
      <w:r>
        <w:rPr>
          <w:rFonts w:hint="eastAsia" w:hAnsi="黑体" w:cs="黑体"/>
          <w:kern w:val="2"/>
          <w:szCs w:val="21"/>
        </w:rPr>
        <w:t>5.2.2.1原料的评价</w:t>
      </w:r>
    </w:p>
    <w:p>
      <w:pPr>
        <w:pStyle w:val="21"/>
        <w:keepNext w:val="0"/>
        <w:keepLines w:val="0"/>
        <w:pageBreakBefore w:val="0"/>
        <w:widowControl/>
        <w:kinsoku/>
        <w:wordWrap/>
        <w:overflowPunct/>
        <w:topLinePunct w:val="0"/>
        <w:autoSpaceDE/>
        <w:autoSpaceDN/>
        <w:bidi w:val="0"/>
        <w:adjustRightInd/>
        <w:snapToGrid/>
        <w:spacing w:before="312" w:after="312"/>
        <w:ind w:firstLine="420" w:firstLineChars="200"/>
        <w:textAlignment w:val="auto"/>
        <w:outlineLvl w:val="1"/>
        <w:rPr>
          <w:rFonts w:hint="eastAsia" w:asciiTheme="minorEastAsia" w:hAnsiTheme="minorEastAsia" w:eastAsiaTheme="minorEastAsia" w:cstheme="minorEastAsia"/>
          <w:kern w:val="0"/>
          <w:sz w:val="21"/>
          <w:szCs w:val="22"/>
          <w:lang w:val="en-US" w:eastAsia="zh-CN" w:bidi="ar-SA"/>
        </w:rPr>
      </w:pPr>
      <w:r>
        <w:rPr>
          <w:rFonts w:hint="eastAsia" w:asciiTheme="minorEastAsia" w:hAnsiTheme="minorEastAsia" w:eastAsiaTheme="minorEastAsia" w:cstheme="minorEastAsia"/>
          <w:kern w:val="0"/>
          <w:sz w:val="21"/>
          <w:szCs w:val="22"/>
          <w:lang w:val="en-US" w:eastAsia="zh-CN" w:bidi="ar-SA"/>
        </w:rPr>
        <w:t>评估小组一般由2-3人组成。评估小组用评香试条在样品容器中沾取待测产品，通过与积雪草提取物标准品对照，评测产品的气味。气味较浓的产品应稀释后进行评价。</w:t>
      </w:r>
    </w:p>
    <w:p>
      <w:pPr>
        <w:pStyle w:val="21"/>
        <w:spacing w:before="312" w:after="312"/>
        <w:rPr>
          <w:rFonts w:hAnsi="黑体" w:cs="黑体"/>
          <w:kern w:val="2"/>
          <w:szCs w:val="21"/>
        </w:rPr>
      </w:pPr>
      <w:r>
        <w:rPr>
          <w:rFonts w:hint="eastAsia" w:hAnsi="黑体" w:cs="黑体"/>
          <w:kern w:val="2"/>
          <w:szCs w:val="21"/>
        </w:rPr>
        <w:t>5.2.2.2标准品的评估</w:t>
      </w:r>
    </w:p>
    <w:p>
      <w:pPr>
        <w:pStyle w:val="21"/>
        <w:keepNext w:val="0"/>
        <w:keepLines w:val="0"/>
        <w:pageBreakBefore w:val="0"/>
        <w:widowControl/>
        <w:kinsoku/>
        <w:wordWrap/>
        <w:overflowPunct/>
        <w:topLinePunct w:val="0"/>
        <w:autoSpaceDE/>
        <w:autoSpaceDN/>
        <w:bidi w:val="0"/>
        <w:adjustRightInd/>
        <w:snapToGrid/>
        <w:spacing w:before="312" w:after="312"/>
        <w:ind w:firstLine="420" w:firstLineChars="200"/>
        <w:textAlignment w:val="auto"/>
        <w:outlineLvl w:val="1"/>
        <w:rPr>
          <w:rFonts w:hint="eastAsia" w:asciiTheme="minorEastAsia" w:hAnsiTheme="minorEastAsia" w:eastAsiaTheme="minorEastAsia" w:cstheme="minorEastAsia"/>
          <w:kern w:val="0"/>
          <w:sz w:val="21"/>
          <w:szCs w:val="22"/>
          <w:lang w:val="en-US" w:eastAsia="zh-CN" w:bidi="ar-SA"/>
        </w:rPr>
      </w:pPr>
      <w:r>
        <w:rPr>
          <w:rFonts w:hint="eastAsia" w:asciiTheme="minorEastAsia" w:hAnsiTheme="minorEastAsia" w:eastAsiaTheme="minorEastAsia" w:cstheme="minorEastAsia"/>
          <w:kern w:val="0"/>
          <w:sz w:val="21"/>
          <w:szCs w:val="22"/>
          <w:lang w:val="en-US" w:eastAsia="zh-CN" w:bidi="ar-SA"/>
        </w:rPr>
        <w:t>每种产品都应有独自的标准品，标准品从以前生产的、并经过产品安全部门接受的产品中取样。</w:t>
      </w:r>
    </w:p>
    <w:p>
      <w:pPr>
        <w:pStyle w:val="21"/>
        <w:spacing w:before="312" w:after="312"/>
        <w:rPr>
          <w:rFonts w:hAnsi="黑体" w:cs="黑体"/>
          <w:kern w:val="2"/>
          <w:szCs w:val="21"/>
        </w:rPr>
      </w:pPr>
      <w:r>
        <w:rPr>
          <w:rFonts w:hAnsi="黑体" w:cs="黑体"/>
          <w:kern w:val="2"/>
          <w:szCs w:val="21"/>
        </w:rPr>
        <w:t>5.</w:t>
      </w:r>
      <w:r>
        <w:rPr>
          <w:rFonts w:hint="eastAsia" w:hAnsi="黑体" w:cs="黑体"/>
          <w:kern w:val="2"/>
          <w:szCs w:val="21"/>
        </w:rPr>
        <w:t>3积雪草总苷含量</w:t>
      </w:r>
    </w:p>
    <w:p>
      <w:pPr>
        <w:pStyle w:val="20"/>
        <w:rPr>
          <w:rFonts w:hint="eastAsia" w:asciiTheme="minorEastAsia" w:hAnsiTheme="minorEastAsia" w:eastAsiaTheme="minorEastAsia" w:cstheme="minorEastAsia"/>
          <w:kern w:val="0"/>
          <w:szCs w:val="22"/>
          <w:lang w:val="en-US" w:eastAsia="zh-CN"/>
        </w:rPr>
      </w:pPr>
      <w:r>
        <w:rPr>
          <w:rFonts w:hint="eastAsia" w:asciiTheme="minorEastAsia" w:hAnsiTheme="minorEastAsia" w:eastAsiaTheme="minorEastAsia" w:cstheme="minorEastAsia"/>
          <w:kern w:val="0"/>
          <w:szCs w:val="22"/>
          <w:lang w:val="en-US" w:eastAsia="zh-CN"/>
        </w:rPr>
        <w:t>照高效液相色谱法（《中国药典》2015年一部)测定</w:t>
      </w:r>
    </w:p>
    <w:p>
      <w:pPr>
        <w:pStyle w:val="20"/>
        <w:rPr>
          <w:rFonts w:hint="eastAsia" w:asciiTheme="minorEastAsia" w:hAnsiTheme="minorEastAsia" w:eastAsiaTheme="minorEastAsia" w:cstheme="minorEastAsia"/>
          <w:kern w:val="0"/>
          <w:szCs w:val="22"/>
          <w:lang w:val="en-US" w:eastAsia="zh-CN"/>
        </w:rPr>
      </w:pPr>
      <w:r>
        <w:rPr>
          <w:rFonts w:hint="eastAsia" w:asciiTheme="minorEastAsia" w:hAnsiTheme="minorEastAsia" w:eastAsiaTheme="minorEastAsia" w:cstheme="minorEastAsia"/>
          <w:kern w:val="0"/>
          <w:szCs w:val="22"/>
          <w:lang w:val="en-US" w:eastAsia="zh-CN"/>
        </w:rPr>
        <w:t>色谱条件与系统适用性试验：以十八烷基硅烷键合硅胶为填充剂；以乙腈-2mmol/L倍他环糊精溶液(24：76)为流动相；检测波长为205nm。理论板数按积雪草苷峰计算应不低于4000。</w:t>
      </w:r>
    </w:p>
    <w:p>
      <w:pPr>
        <w:pStyle w:val="20"/>
        <w:ind w:left="0" w:leftChars="0" w:firstLine="0" w:firstLineChars="0"/>
        <w:rPr>
          <w:rFonts w:hint="eastAsia" w:ascii="黑体" w:hAnsi="黑体" w:eastAsia="黑体" w:cs="黑体"/>
          <w:kern w:val="0"/>
          <w:szCs w:val="22"/>
          <w:lang w:val="en-US" w:eastAsia="zh-CN"/>
        </w:rPr>
      </w:pPr>
    </w:p>
    <w:p>
      <w:pPr>
        <w:pStyle w:val="20"/>
        <w:ind w:left="0" w:leftChars="0" w:firstLine="0" w:firstLineChars="0"/>
        <w:rPr>
          <w:rFonts w:hint="eastAsia" w:asciiTheme="minorEastAsia" w:hAnsiTheme="minorEastAsia" w:eastAsiaTheme="minorEastAsia" w:cstheme="minorEastAsia"/>
          <w:kern w:val="0"/>
          <w:szCs w:val="22"/>
          <w:lang w:val="en-US" w:eastAsia="zh-CN"/>
        </w:rPr>
      </w:pPr>
      <w:r>
        <w:rPr>
          <w:rFonts w:hint="eastAsia" w:ascii="黑体" w:hAnsi="黑体" w:eastAsia="黑体" w:cs="黑体"/>
          <w:kern w:val="0"/>
          <w:szCs w:val="22"/>
          <w:lang w:val="en-US" w:eastAsia="zh-CN"/>
        </w:rPr>
        <w:t>5.3.1 对照品溶液的制备</w:t>
      </w:r>
    </w:p>
    <w:p>
      <w:pPr>
        <w:pStyle w:val="20"/>
        <w:rPr>
          <w:rFonts w:hint="eastAsia" w:asciiTheme="minorEastAsia" w:hAnsiTheme="minorEastAsia" w:eastAsiaTheme="minorEastAsia" w:cstheme="minorEastAsia"/>
          <w:kern w:val="0"/>
          <w:szCs w:val="22"/>
          <w:lang w:val="en-US" w:eastAsia="zh-CN"/>
        </w:rPr>
      </w:pPr>
      <w:r>
        <w:rPr>
          <w:rFonts w:hint="eastAsia" w:asciiTheme="minorEastAsia" w:hAnsiTheme="minorEastAsia" w:eastAsiaTheme="minorEastAsia" w:cstheme="minorEastAsia"/>
          <w:kern w:val="0"/>
          <w:szCs w:val="22"/>
          <w:lang w:val="en-US" w:eastAsia="zh-CN"/>
        </w:rPr>
        <w:t>取羟基积雪草苷对照品、积雪草苷对照品，精密称定，加甲醇制成每1ml各含0.2mg的溶液，即得。</w:t>
      </w:r>
    </w:p>
    <w:p>
      <w:pPr>
        <w:pStyle w:val="20"/>
        <w:ind w:left="0" w:leftChars="0" w:firstLine="0" w:firstLineChars="0"/>
        <w:rPr>
          <w:rFonts w:hint="eastAsia" w:ascii="黑体" w:hAnsi="黑体" w:eastAsia="黑体" w:cs="黑体"/>
          <w:kern w:val="0"/>
          <w:szCs w:val="22"/>
          <w:lang w:val="en-US" w:eastAsia="zh-CN"/>
        </w:rPr>
      </w:pPr>
    </w:p>
    <w:p>
      <w:pPr>
        <w:pStyle w:val="20"/>
        <w:ind w:left="0" w:leftChars="0" w:firstLine="0" w:firstLineChars="0"/>
        <w:rPr>
          <w:rFonts w:hint="eastAsia" w:ascii="黑体" w:hAnsi="黑体" w:eastAsia="黑体" w:cs="黑体"/>
          <w:kern w:val="0"/>
          <w:szCs w:val="22"/>
          <w:lang w:val="en-US" w:eastAsia="zh-CN"/>
        </w:rPr>
      </w:pPr>
      <w:r>
        <w:rPr>
          <w:rFonts w:hint="eastAsia" w:ascii="黑体" w:hAnsi="黑体" w:eastAsia="黑体" w:cs="黑体"/>
          <w:kern w:val="0"/>
          <w:szCs w:val="22"/>
          <w:lang w:val="en-US" w:eastAsia="zh-CN"/>
        </w:rPr>
        <w:t>5.3.2 供试品溶液的制备</w:t>
      </w:r>
    </w:p>
    <w:p>
      <w:pPr>
        <w:pStyle w:val="20"/>
        <w:rPr>
          <w:rFonts w:hint="eastAsia" w:asciiTheme="minorEastAsia" w:hAnsiTheme="minorEastAsia" w:eastAsiaTheme="minorEastAsia" w:cstheme="minorEastAsia"/>
          <w:kern w:val="0"/>
          <w:szCs w:val="22"/>
          <w:lang w:val="en-US" w:eastAsia="zh-CN"/>
        </w:rPr>
      </w:pPr>
      <w:r>
        <w:rPr>
          <w:rFonts w:hint="eastAsia" w:asciiTheme="minorEastAsia" w:hAnsiTheme="minorEastAsia" w:eastAsiaTheme="minorEastAsia" w:cstheme="minorEastAsia"/>
          <w:kern w:val="0"/>
          <w:szCs w:val="22"/>
          <w:lang w:val="en-US" w:eastAsia="zh-CN"/>
        </w:rPr>
        <w:t>精密吸取积雪草提取液1ml，置10ml量瓶中，加80%甲醇稀释至刻度，摇匀，过滤，取续滤液，即得。</w:t>
      </w:r>
    </w:p>
    <w:p>
      <w:pPr>
        <w:pStyle w:val="20"/>
        <w:rPr>
          <w:rFonts w:hint="eastAsia" w:asciiTheme="minorEastAsia" w:hAnsiTheme="minorEastAsia" w:eastAsiaTheme="minorEastAsia" w:cstheme="minorEastAsia"/>
          <w:kern w:val="0"/>
          <w:szCs w:val="22"/>
          <w:lang w:val="en-US" w:eastAsia="zh-CN"/>
        </w:rPr>
      </w:pPr>
    </w:p>
    <w:p>
      <w:pPr>
        <w:pStyle w:val="20"/>
        <w:ind w:left="0" w:leftChars="0" w:firstLine="0" w:firstLineChars="0"/>
        <w:rPr>
          <w:rFonts w:hint="eastAsia" w:ascii="黑体" w:hAnsi="黑体" w:eastAsia="黑体" w:cs="黑体"/>
          <w:kern w:val="0"/>
          <w:szCs w:val="22"/>
          <w:lang w:val="en-US" w:eastAsia="zh-CN"/>
        </w:rPr>
      </w:pPr>
      <w:r>
        <w:rPr>
          <w:rFonts w:hint="eastAsia" w:ascii="黑体" w:hAnsi="黑体" w:eastAsia="黑体" w:cs="黑体"/>
          <w:kern w:val="0"/>
          <w:szCs w:val="22"/>
          <w:lang w:val="en-US" w:eastAsia="zh-CN"/>
        </w:rPr>
        <w:t>5.3.3 测定法</w:t>
      </w:r>
    </w:p>
    <w:p>
      <w:pPr>
        <w:pStyle w:val="20"/>
        <w:rPr>
          <w:rFonts w:hint="eastAsia" w:asciiTheme="minorEastAsia" w:hAnsiTheme="minorEastAsia" w:eastAsiaTheme="minorEastAsia" w:cstheme="minorEastAsia"/>
          <w:kern w:val="0"/>
          <w:szCs w:val="22"/>
          <w:lang w:val="en-US" w:eastAsia="zh-CN"/>
        </w:rPr>
      </w:pPr>
      <w:r>
        <w:rPr>
          <w:rFonts w:hint="eastAsia" w:asciiTheme="minorEastAsia" w:hAnsiTheme="minorEastAsia" w:eastAsiaTheme="minorEastAsia" w:cstheme="minorEastAsia"/>
          <w:kern w:val="0"/>
          <w:szCs w:val="22"/>
          <w:lang w:val="en-US" w:eastAsia="zh-CN"/>
        </w:rPr>
        <w:t>分别精密吸取对照品溶液与供试品溶液各10μl，注入液相色谱仪，测定，即得。</w:t>
      </w:r>
    </w:p>
    <w:p>
      <w:pPr>
        <w:pStyle w:val="20"/>
        <w:rPr>
          <w:rFonts w:hint="eastAsia" w:asciiTheme="minorEastAsia" w:hAnsiTheme="minorEastAsia" w:eastAsiaTheme="minorEastAsia" w:cstheme="minorEastAsia"/>
          <w:kern w:val="0"/>
          <w:szCs w:val="22"/>
          <w:lang w:val="en-US" w:eastAsia="zh-CN"/>
        </w:rPr>
      </w:pPr>
      <w:bookmarkStart w:id="10" w:name="_GoBack"/>
      <w:bookmarkEnd w:id="10"/>
    </w:p>
    <w:p>
      <w:pPr>
        <w:pStyle w:val="17"/>
        <w:framePr w:hSpace="0" w:vSpace="0" w:wrap="auto" w:vAnchor="margin" w:hAnchor="text" w:yAlign="inline"/>
        <w:rPr>
          <w:rFonts w:hAnsi="黑体" w:cs="黑体"/>
          <w:kern w:val="2"/>
        </w:rPr>
      </w:pPr>
      <w:r>
        <w:rPr>
          <w:rFonts w:hAnsi="黑体" w:cs="黑体"/>
          <w:kern w:val="2"/>
        </w:rPr>
        <w:t>5.</w:t>
      </w:r>
      <w:r>
        <w:rPr>
          <w:rFonts w:hint="eastAsia" w:hAnsi="黑体" w:cs="黑体"/>
          <w:kern w:val="2"/>
        </w:rPr>
        <w:t>4铅</w:t>
      </w:r>
    </w:p>
    <w:p>
      <w:pPr>
        <w:pStyle w:val="20"/>
        <w:rPr>
          <w:rFonts w:hint="eastAsia" w:asciiTheme="minorEastAsia" w:hAnsiTheme="minorEastAsia" w:eastAsiaTheme="minorEastAsia" w:cstheme="minorEastAsia"/>
          <w:kern w:val="0"/>
          <w:szCs w:val="22"/>
          <w:lang w:val="en-US" w:eastAsia="zh-CN"/>
        </w:rPr>
      </w:pPr>
      <w:r>
        <w:rPr>
          <w:rFonts w:hint="eastAsia" w:asciiTheme="minorEastAsia" w:hAnsiTheme="minorEastAsia" w:eastAsiaTheme="minorEastAsia" w:cstheme="minorEastAsia"/>
          <w:kern w:val="0"/>
          <w:szCs w:val="22"/>
          <w:lang w:val="en-US" w:eastAsia="zh-CN"/>
        </w:rPr>
        <w:t>按《化妆品安全技术规范》2015年版中规定的方法检测。</w:t>
      </w:r>
    </w:p>
    <w:p>
      <w:pPr>
        <w:pStyle w:val="21"/>
        <w:spacing w:before="312" w:after="312"/>
        <w:rPr>
          <w:rFonts w:hAnsi="黑体" w:cs="黑体"/>
          <w:kern w:val="2"/>
          <w:szCs w:val="21"/>
        </w:rPr>
      </w:pPr>
      <w:r>
        <w:rPr>
          <w:rFonts w:hAnsi="黑体" w:cs="黑体"/>
          <w:kern w:val="2"/>
          <w:szCs w:val="21"/>
        </w:rPr>
        <w:t>5.</w:t>
      </w:r>
      <w:r>
        <w:rPr>
          <w:rFonts w:hint="eastAsia" w:hAnsi="黑体" w:cs="黑体"/>
          <w:kern w:val="2"/>
          <w:szCs w:val="21"/>
        </w:rPr>
        <w:t>5汞</w:t>
      </w:r>
    </w:p>
    <w:p>
      <w:pPr>
        <w:pStyle w:val="20"/>
        <w:rPr>
          <w:rFonts w:hint="eastAsia" w:asciiTheme="minorEastAsia" w:hAnsiTheme="minorEastAsia" w:eastAsiaTheme="minorEastAsia" w:cstheme="minorEastAsia"/>
          <w:kern w:val="0"/>
          <w:szCs w:val="22"/>
          <w:lang w:val="en-US" w:eastAsia="zh-CN"/>
        </w:rPr>
      </w:pPr>
      <w:r>
        <w:rPr>
          <w:rFonts w:hint="eastAsia" w:asciiTheme="minorEastAsia" w:hAnsiTheme="minorEastAsia" w:eastAsiaTheme="minorEastAsia" w:cstheme="minorEastAsia"/>
          <w:kern w:val="0"/>
          <w:szCs w:val="22"/>
          <w:lang w:val="en-US" w:eastAsia="zh-CN"/>
        </w:rPr>
        <w:t>按《化妆品安全技术规范》2015年版中规定的方法检测。</w:t>
      </w:r>
    </w:p>
    <w:p>
      <w:pPr>
        <w:pStyle w:val="21"/>
        <w:spacing w:before="312" w:after="312"/>
        <w:rPr>
          <w:rFonts w:hAnsi="黑体" w:cs="黑体"/>
          <w:kern w:val="2"/>
          <w:szCs w:val="21"/>
        </w:rPr>
      </w:pPr>
      <w:r>
        <w:rPr>
          <w:rFonts w:hAnsi="黑体" w:cs="黑体"/>
          <w:kern w:val="2"/>
          <w:szCs w:val="21"/>
        </w:rPr>
        <w:t>5.</w:t>
      </w:r>
      <w:r>
        <w:rPr>
          <w:rFonts w:hint="eastAsia" w:hAnsi="黑体" w:cs="黑体"/>
          <w:kern w:val="2"/>
          <w:szCs w:val="21"/>
        </w:rPr>
        <w:t>6砷</w:t>
      </w:r>
    </w:p>
    <w:p>
      <w:pPr>
        <w:pStyle w:val="20"/>
        <w:rPr>
          <w:rFonts w:hint="eastAsia" w:asciiTheme="minorEastAsia" w:hAnsiTheme="minorEastAsia" w:eastAsiaTheme="minorEastAsia" w:cstheme="minorEastAsia"/>
          <w:kern w:val="0"/>
          <w:szCs w:val="22"/>
          <w:lang w:val="en-US" w:eastAsia="zh-CN"/>
        </w:rPr>
      </w:pPr>
      <w:r>
        <w:rPr>
          <w:rFonts w:hint="eastAsia" w:asciiTheme="minorEastAsia" w:hAnsiTheme="minorEastAsia" w:eastAsiaTheme="minorEastAsia" w:cstheme="minorEastAsia"/>
          <w:kern w:val="0"/>
          <w:szCs w:val="22"/>
          <w:lang w:val="en-US" w:eastAsia="zh-CN"/>
        </w:rPr>
        <w:t>按《化妆品安全技术规范》2015年版中规定的方法检测。</w:t>
      </w:r>
    </w:p>
    <w:p>
      <w:pPr>
        <w:pStyle w:val="21"/>
        <w:spacing w:before="312" w:after="312"/>
        <w:rPr>
          <w:rFonts w:hAnsi="黑体" w:cs="黑体"/>
          <w:kern w:val="2"/>
          <w:szCs w:val="21"/>
        </w:rPr>
      </w:pPr>
      <w:r>
        <w:rPr>
          <w:rFonts w:hAnsi="黑体" w:cs="黑体"/>
          <w:kern w:val="2"/>
          <w:szCs w:val="21"/>
        </w:rPr>
        <w:t>5.</w:t>
      </w:r>
      <w:r>
        <w:rPr>
          <w:rFonts w:hint="eastAsia" w:hAnsi="黑体" w:cs="黑体"/>
          <w:kern w:val="2"/>
          <w:szCs w:val="21"/>
        </w:rPr>
        <w:t>7镉</w:t>
      </w:r>
    </w:p>
    <w:p>
      <w:pPr>
        <w:pStyle w:val="20"/>
        <w:rPr>
          <w:rFonts w:hint="eastAsia" w:asciiTheme="minorEastAsia" w:hAnsiTheme="minorEastAsia" w:eastAsiaTheme="minorEastAsia" w:cstheme="minorEastAsia"/>
          <w:kern w:val="0"/>
          <w:szCs w:val="22"/>
          <w:lang w:val="en-US" w:eastAsia="zh-CN"/>
        </w:rPr>
      </w:pPr>
      <w:r>
        <w:rPr>
          <w:rFonts w:hint="eastAsia" w:asciiTheme="minorEastAsia" w:hAnsiTheme="minorEastAsia" w:eastAsiaTheme="minorEastAsia" w:cstheme="minorEastAsia"/>
          <w:kern w:val="0"/>
          <w:szCs w:val="22"/>
          <w:lang w:val="en-US" w:eastAsia="zh-CN"/>
        </w:rPr>
        <w:t>按《化妆品安全技术规范》2015年版中规定的方法检测。</w:t>
      </w:r>
    </w:p>
    <w:p>
      <w:pPr>
        <w:pStyle w:val="21"/>
        <w:spacing w:before="312" w:after="312"/>
        <w:rPr>
          <w:rFonts w:hAnsi="黑体" w:cs="黑体"/>
          <w:kern w:val="2"/>
          <w:szCs w:val="21"/>
        </w:rPr>
      </w:pPr>
      <w:r>
        <w:rPr>
          <w:rFonts w:hAnsi="黑体" w:cs="黑体"/>
          <w:kern w:val="2"/>
          <w:szCs w:val="21"/>
        </w:rPr>
        <w:t>5.</w:t>
      </w:r>
      <w:r>
        <w:rPr>
          <w:rFonts w:hint="eastAsia" w:hAnsi="黑体" w:cs="黑体"/>
          <w:kern w:val="2"/>
          <w:szCs w:val="21"/>
        </w:rPr>
        <w:t>8</w:t>
      </w:r>
      <w:r>
        <w:rPr>
          <w:rFonts w:ascii="Times New Roman" w:hAnsi="Times New Roman"/>
        </w:rPr>
        <w:t>微生物指标的测定</w:t>
      </w:r>
    </w:p>
    <w:p>
      <w:pPr>
        <w:pStyle w:val="20"/>
        <w:rPr>
          <w:rFonts w:hint="eastAsia" w:asciiTheme="minorEastAsia" w:hAnsiTheme="minorEastAsia" w:eastAsiaTheme="minorEastAsia" w:cstheme="minorEastAsia"/>
          <w:kern w:val="0"/>
          <w:szCs w:val="22"/>
          <w:lang w:val="en-US" w:eastAsia="zh-CN"/>
        </w:rPr>
      </w:pPr>
      <w:r>
        <w:rPr>
          <w:rFonts w:hint="eastAsia" w:asciiTheme="minorEastAsia" w:hAnsiTheme="minorEastAsia" w:eastAsiaTheme="minorEastAsia" w:cstheme="minorEastAsia"/>
          <w:kern w:val="0"/>
          <w:szCs w:val="22"/>
          <w:lang w:val="en-US" w:eastAsia="zh-CN"/>
        </w:rPr>
        <w:t>按《化妆品安全技术规范》2015年版中规定的方法检测。</w:t>
      </w:r>
    </w:p>
    <w:p>
      <w:pPr>
        <w:pStyle w:val="21"/>
        <w:spacing w:before="312" w:after="312"/>
        <w:rPr>
          <w:rFonts w:hAnsi="黑体" w:cs="黑体"/>
          <w:kern w:val="2"/>
          <w:szCs w:val="21"/>
        </w:rPr>
      </w:pPr>
      <w:r>
        <w:rPr>
          <w:rFonts w:hAnsi="黑体" w:cs="黑体"/>
          <w:kern w:val="2"/>
          <w:szCs w:val="21"/>
        </w:rPr>
        <w:t xml:space="preserve">6   </w:t>
      </w:r>
      <w:r>
        <w:rPr>
          <w:rFonts w:hint="eastAsia" w:hAnsi="黑体" w:cs="黑体"/>
          <w:kern w:val="2"/>
          <w:szCs w:val="21"/>
        </w:rPr>
        <w:t>检验规则</w:t>
      </w:r>
    </w:p>
    <w:p>
      <w:pPr>
        <w:pStyle w:val="21"/>
        <w:spacing w:before="312" w:after="312"/>
        <w:rPr>
          <w:rFonts w:hAnsi="黑体" w:cs="黑体"/>
          <w:kern w:val="2"/>
          <w:szCs w:val="21"/>
        </w:rPr>
      </w:pPr>
      <w:r>
        <w:rPr>
          <w:rFonts w:hAnsi="黑体" w:cs="黑体"/>
          <w:kern w:val="2"/>
          <w:szCs w:val="21"/>
        </w:rPr>
        <w:t xml:space="preserve">6.1  </w:t>
      </w:r>
      <w:r>
        <w:rPr>
          <w:rFonts w:hint="eastAsia" w:hAnsi="黑体" w:cs="黑体"/>
          <w:kern w:val="2"/>
          <w:szCs w:val="21"/>
        </w:rPr>
        <w:t>出厂检验</w:t>
      </w:r>
    </w:p>
    <w:p>
      <w:pPr>
        <w:pStyle w:val="20"/>
        <w:rPr>
          <w:rFonts w:hint="eastAsia" w:asciiTheme="minorEastAsia" w:hAnsiTheme="minorEastAsia" w:eastAsiaTheme="minorEastAsia" w:cstheme="minorEastAsia"/>
          <w:kern w:val="0"/>
          <w:szCs w:val="22"/>
          <w:lang w:val="en-US" w:eastAsia="zh-CN"/>
        </w:rPr>
      </w:pPr>
      <w:r>
        <w:rPr>
          <w:rFonts w:hint="eastAsia" w:asciiTheme="minorEastAsia" w:hAnsiTheme="minorEastAsia" w:eastAsiaTheme="minorEastAsia" w:cstheme="minorEastAsia"/>
          <w:kern w:val="0"/>
          <w:szCs w:val="22"/>
          <w:lang w:val="en-US" w:eastAsia="zh-CN"/>
        </w:rPr>
        <w:t>由生产厂质量检验部门取样检验。外观、气味、菌落总数、霉菌和酵母菌总数、金黄色葡萄球菌、耐热大肠杆菌群、铜绿假单胞菌为出厂检验项目。生产厂应保证每批出厂的产品都符合本标准的要求。每一批出厂的产品都应有一定格式的质量证书，内容包括出厂检验项目、产品名称、生产厂名称、生产日期或批号、净重、执行标准编号。</w:t>
      </w:r>
    </w:p>
    <w:p>
      <w:pPr>
        <w:pStyle w:val="21"/>
        <w:spacing w:before="312" w:after="312"/>
        <w:rPr>
          <w:rFonts w:hAnsi="黑体" w:cs="黑体"/>
          <w:kern w:val="2"/>
          <w:szCs w:val="21"/>
        </w:rPr>
      </w:pPr>
      <w:r>
        <w:rPr>
          <w:rFonts w:hAnsi="黑体" w:cs="黑体"/>
          <w:kern w:val="2"/>
          <w:szCs w:val="21"/>
        </w:rPr>
        <w:t xml:space="preserve">6.2  </w:t>
      </w:r>
      <w:r>
        <w:rPr>
          <w:rFonts w:hint="eastAsia" w:hAnsi="黑体" w:cs="黑体"/>
          <w:kern w:val="2"/>
          <w:szCs w:val="21"/>
        </w:rPr>
        <w:t>型式检验</w:t>
      </w:r>
    </w:p>
    <w:p>
      <w:pPr>
        <w:pStyle w:val="20"/>
        <w:rPr>
          <w:rFonts w:hint="eastAsia" w:asciiTheme="minorEastAsia" w:hAnsiTheme="minorEastAsia" w:eastAsiaTheme="minorEastAsia" w:cstheme="minorEastAsia"/>
          <w:kern w:val="0"/>
          <w:szCs w:val="22"/>
          <w:lang w:val="en-US" w:eastAsia="zh-CN"/>
        </w:rPr>
      </w:pPr>
      <w:r>
        <w:rPr>
          <w:rFonts w:hint="eastAsia" w:asciiTheme="minorEastAsia" w:hAnsiTheme="minorEastAsia" w:eastAsiaTheme="minorEastAsia" w:cstheme="minorEastAsia"/>
          <w:kern w:val="0"/>
          <w:szCs w:val="22"/>
          <w:lang w:val="en-US" w:eastAsia="zh-CN"/>
        </w:rPr>
        <w:t>型式检验每年不应少于1次。型式检验的项目为技术要求中的全部项目，有下列情况之一时，也应进行型式检验</w:t>
      </w:r>
    </w:p>
    <w:p>
      <w:pPr>
        <w:pStyle w:val="20"/>
        <w:rPr>
          <w:rFonts w:hint="eastAsia" w:asciiTheme="minorEastAsia" w:hAnsiTheme="minorEastAsia" w:eastAsiaTheme="minorEastAsia" w:cstheme="minorEastAsia"/>
          <w:kern w:val="0"/>
          <w:szCs w:val="22"/>
          <w:lang w:val="en-US" w:eastAsia="zh-CN"/>
        </w:rPr>
      </w:pPr>
      <w:r>
        <w:rPr>
          <w:rFonts w:hint="eastAsia" w:asciiTheme="minorEastAsia" w:hAnsiTheme="minorEastAsia" w:eastAsiaTheme="minorEastAsia" w:cstheme="minorEastAsia"/>
          <w:kern w:val="0"/>
          <w:szCs w:val="22"/>
          <w:lang w:val="en-US" w:eastAsia="zh-CN"/>
        </w:rPr>
        <w:t>a)当原料、工艺和设备发生重大改变时；</w:t>
      </w:r>
    </w:p>
    <w:p>
      <w:pPr>
        <w:pStyle w:val="20"/>
        <w:rPr>
          <w:rFonts w:hint="eastAsia" w:asciiTheme="minorEastAsia" w:hAnsiTheme="minorEastAsia" w:eastAsiaTheme="minorEastAsia" w:cstheme="minorEastAsia"/>
          <w:kern w:val="0"/>
          <w:szCs w:val="22"/>
          <w:lang w:val="en-US" w:eastAsia="zh-CN"/>
        </w:rPr>
      </w:pPr>
      <w:r>
        <w:rPr>
          <w:rFonts w:hint="eastAsia" w:asciiTheme="minorEastAsia" w:hAnsiTheme="minorEastAsia" w:eastAsiaTheme="minorEastAsia" w:cstheme="minorEastAsia"/>
          <w:kern w:val="0"/>
          <w:szCs w:val="22"/>
          <w:lang w:val="en-US" w:eastAsia="zh-CN"/>
        </w:rPr>
        <w:t>b)产品首次投产或停产6个月以上恢复生产时；</w:t>
      </w:r>
    </w:p>
    <w:p>
      <w:pPr>
        <w:pStyle w:val="20"/>
        <w:rPr>
          <w:rFonts w:hint="eastAsia" w:asciiTheme="minorEastAsia" w:hAnsiTheme="minorEastAsia" w:eastAsiaTheme="minorEastAsia" w:cstheme="minorEastAsia"/>
          <w:kern w:val="0"/>
          <w:szCs w:val="22"/>
          <w:lang w:val="en-US" w:eastAsia="zh-CN"/>
        </w:rPr>
      </w:pPr>
      <w:r>
        <w:rPr>
          <w:rFonts w:hint="eastAsia" w:asciiTheme="minorEastAsia" w:hAnsiTheme="minorEastAsia" w:eastAsiaTheme="minorEastAsia" w:cstheme="minorEastAsia"/>
          <w:kern w:val="0"/>
          <w:szCs w:val="22"/>
          <w:lang w:val="en-US" w:eastAsia="zh-CN"/>
        </w:rPr>
        <w:t>c)生产场所改变时；</w:t>
      </w:r>
    </w:p>
    <w:p>
      <w:pPr>
        <w:pStyle w:val="20"/>
        <w:rPr>
          <w:rFonts w:hint="eastAsia" w:asciiTheme="minorEastAsia" w:hAnsiTheme="minorEastAsia" w:eastAsiaTheme="minorEastAsia" w:cstheme="minorEastAsia"/>
          <w:kern w:val="0"/>
          <w:szCs w:val="22"/>
          <w:lang w:val="en-US" w:eastAsia="zh-CN"/>
        </w:rPr>
      </w:pPr>
      <w:r>
        <w:rPr>
          <w:rFonts w:hint="eastAsia" w:asciiTheme="minorEastAsia" w:hAnsiTheme="minorEastAsia" w:eastAsiaTheme="minorEastAsia" w:cstheme="minorEastAsia"/>
          <w:kern w:val="0"/>
          <w:szCs w:val="22"/>
          <w:lang w:val="en-US" w:eastAsia="zh-CN"/>
        </w:rPr>
        <w:t>d)国家质量监督机构提出进行型式检验的要求。</w:t>
      </w:r>
    </w:p>
    <w:p>
      <w:pPr>
        <w:pStyle w:val="21"/>
        <w:spacing w:before="312" w:after="312"/>
        <w:rPr>
          <w:rFonts w:hAnsi="黑体" w:cs="黑体"/>
          <w:kern w:val="2"/>
          <w:szCs w:val="21"/>
        </w:rPr>
      </w:pPr>
      <w:r>
        <w:rPr>
          <w:rFonts w:hint="eastAsia" w:hAnsi="黑体" w:cs="黑体"/>
          <w:kern w:val="2"/>
          <w:szCs w:val="21"/>
        </w:rPr>
        <w:t>6.3</w:t>
      </w:r>
      <w:r>
        <w:rPr>
          <w:rFonts w:hint="eastAsia" w:asciiTheme="minorEastAsia" w:hAnsiTheme="minorEastAsia" w:eastAsiaTheme="minorEastAsia" w:cstheme="minorEastAsia"/>
          <w:kern w:val="0"/>
          <w:sz w:val="21"/>
          <w:szCs w:val="22"/>
          <w:lang w:val="en-US" w:eastAsia="zh-CN" w:bidi="ar-SA"/>
        </w:rPr>
        <w:t>检验结果若有1项不符合标准要求，应重新自双倍量的包装中取样进行复验，复验结果仍有1项指标不符合标准要求，即整批产品判定为不合格。</w:t>
      </w:r>
    </w:p>
    <w:p>
      <w:pPr>
        <w:pStyle w:val="21"/>
        <w:spacing w:before="312" w:after="312"/>
        <w:rPr>
          <w:rFonts w:hint="eastAsia" w:asciiTheme="minorEastAsia" w:hAnsiTheme="minorEastAsia" w:eastAsiaTheme="minorEastAsia" w:cstheme="minorEastAsia"/>
          <w:kern w:val="0"/>
          <w:sz w:val="21"/>
          <w:szCs w:val="22"/>
          <w:lang w:val="en-US" w:eastAsia="zh-CN" w:bidi="ar-SA"/>
        </w:rPr>
      </w:pPr>
      <w:r>
        <w:rPr>
          <w:rFonts w:hint="eastAsia" w:hAnsi="黑体" w:cs="黑体"/>
          <w:kern w:val="2"/>
          <w:szCs w:val="21"/>
        </w:rPr>
        <w:t>6.4</w:t>
      </w:r>
      <w:r>
        <w:rPr>
          <w:rFonts w:hint="eastAsia" w:asciiTheme="minorEastAsia" w:hAnsiTheme="minorEastAsia" w:eastAsiaTheme="minorEastAsia" w:cstheme="minorEastAsia"/>
          <w:kern w:val="0"/>
          <w:sz w:val="21"/>
          <w:szCs w:val="22"/>
          <w:lang w:val="en-US" w:eastAsia="zh-CN" w:bidi="ar-SA"/>
        </w:rPr>
        <w:t xml:space="preserve"> 采样按GB/T6678和GB/T6680中有关规定进行，对产品进行采样两份，密封包装，其中一份用于检验，一份用于留样。</w:t>
      </w:r>
    </w:p>
    <w:p>
      <w:pPr>
        <w:pStyle w:val="21"/>
        <w:spacing w:before="312" w:after="312"/>
        <w:rPr>
          <w:rFonts w:hAnsi="黑体" w:cs="黑体"/>
          <w:kern w:val="2"/>
          <w:szCs w:val="21"/>
        </w:rPr>
      </w:pPr>
      <w:r>
        <w:rPr>
          <w:rFonts w:hint="eastAsia" w:hAnsi="黑体" w:cs="黑体"/>
          <w:kern w:val="2"/>
          <w:szCs w:val="21"/>
        </w:rPr>
        <w:t>6.5</w:t>
      </w:r>
      <w:r>
        <w:rPr>
          <w:rFonts w:hint="eastAsia" w:asciiTheme="minorEastAsia" w:hAnsiTheme="minorEastAsia" w:eastAsiaTheme="minorEastAsia" w:cstheme="minorEastAsia"/>
          <w:kern w:val="0"/>
          <w:sz w:val="21"/>
          <w:szCs w:val="22"/>
          <w:lang w:val="en-US" w:eastAsia="zh-CN" w:bidi="ar-SA"/>
        </w:rPr>
        <w:t>检验结果的判定按GB/T8170数值修约值比较法进行。</w:t>
      </w:r>
    </w:p>
    <w:p>
      <w:pPr>
        <w:pStyle w:val="21"/>
        <w:spacing w:before="312" w:after="312"/>
        <w:rPr>
          <w:rFonts w:hint="eastAsia" w:asciiTheme="minorEastAsia" w:hAnsiTheme="minorEastAsia" w:eastAsiaTheme="minorEastAsia" w:cstheme="minorEastAsia"/>
          <w:kern w:val="0"/>
          <w:sz w:val="21"/>
          <w:szCs w:val="22"/>
          <w:lang w:val="en-US" w:eastAsia="zh-CN" w:bidi="ar-SA"/>
        </w:rPr>
      </w:pPr>
      <w:r>
        <w:rPr>
          <w:rFonts w:hint="eastAsia" w:hAnsi="黑体" w:cs="黑体"/>
          <w:kern w:val="2"/>
          <w:szCs w:val="21"/>
        </w:rPr>
        <w:t>6.6</w:t>
      </w:r>
      <w:r>
        <w:rPr>
          <w:rFonts w:hint="eastAsia" w:asciiTheme="minorEastAsia" w:hAnsiTheme="minorEastAsia" w:eastAsiaTheme="minorEastAsia" w:cstheme="minorEastAsia"/>
          <w:kern w:val="0"/>
          <w:sz w:val="21"/>
          <w:szCs w:val="22"/>
          <w:lang w:val="en-US" w:eastAsia="zh-CN" w:bidi="ar-SA"/>
        </w:rPr>
        <w:t>使用单位有权按照本标准的检验规则和试验方法对所收到的该产品进行验收，如有异议需在收到产品15天内向生产厂提出；当供需双方对产品质量发生异议时，由双方协商解决或请仲裁单位进行仲裁分析，仲裁分析时应按本标准规定的试验方法和检验规则进行。</w:t>
      </w:r>
    </w:p>
    <w:p>
      <w:pPr>
        <w:pStyle w:val="21"/>
        <w:spacing w:before="312" w:after="312"/>
        <w:rPr>
          <w:rFonts w:hAnsi="黑体" w:cs="黑体"/>
          <w:kern w:val="2"/>
          <w:szCs w:val="21"/>
        </w:rPr>
      </w:pPr>
      <w:r>
        <w:rPr>
          <w:rFonts w:hAnsi="黑体" w:cs="黑体"/>
          <w:kern w:val="2"/>
          <w:szCs w:val="21"/>
        </w:rPr>
        <w:t xml:space="preserve">7  </w:t>
      </w:r>
      <w:r>
        <w:rPr>
          <w:rFonts w:hint="eastAsia" w:hAnsi="黑体" w:cs="黑体"/>
          <w:kern w:val="2"/>
          <w:szCs w:val="21"/>
        </w:rPr>
        <w:t>标志、包装、运输、贮存及保质期</w:t>
      </w:r>
    </w:p>
    <w:p>
      <w:pPr>
        <w:pStyle w:val="21"/>
        <w:spacing w:before="312" w:after="312"/>
        <w:rPr>
          <w:rFonts w:hAnsi="黑体" w:cs="黑体"/>
          <w:kern w:val="2"/>
          <w:szCs w:val="21"/>
        </w:rPr>
      </w:pPr>
      <w:r>
        <w:rPr>
          <w:rFonts w:hint="eastAsia" w:hAnsi="黑体" w:cs="黑体"/>
          <w:kern w:val="2"/>
          <w:szCs w:val="21"/>
        </w:rPr>
        <w:t>7.1标志</w:t>
      </w:r>
    </w:p>
    <w:p>
      <w:pPr>
        <w:pStyle w:val="20"/>
        <w:rPr>
          <w:rFonts w:hint="eastAsia" w:asciiTheme="minorEastAsia" w:hAnsiTheme="minorEastAsia" w:eastAsiaTheme="minorEastAsia" w:cstheme="minorEastAsia"/>
          <w:kern w:val="0"/>
          <w:szCs w:val="22"/>
          <w:lang w:val="en-US" w:eastAsia="zh-CN"/>
        </w:rPr>
      </w:pPr>
      <w:r>
        <w:rPr>
          <w:rFonts w:hint="eastAsia" w:asciiTheme="minorEastAsia" w:hAnsiTheme="minorEastAsia" w:eastAsiaTheme="minorEastAsia" w:cstheme="minorEastAsia"/>
          <w:kern w:val="0"/>
          <w:szCs w:val="22"/>
          <w:lang w:val="en-US" w:eastAsia="zh-CN"/>
        </w:rPr>
        <w:t>产品销售包装图示标志应按GB/T191执行，标注内容为：产品名称、商标(如有)、保质期(用生产日期、保质期或生产批号、限期使用日期等方式组合表示)、生产者名称、地址、净含量、执行标准号以及根据产品特点所应标注的其他内容。</w:t>
      </w:r>
    </w:p>
    <w:p>
      <w:pPr>
        <w:pStyle w:val="21"/>
        <w:spacing w:before="312" w:after="312"/>
        <w:rPr>
          <w:rFonts w:hAnsi="黑体" w:cs="黑体"/>
          <w:kern w:val="2"/>
          <w:szCs w:val="21"/>
        </w:rPr>
      </w:pPr>
      <w:r>
        <w:rPr>
          <w:rFonts w:hint="eastAsia" w:hAnsi="黑体" w:cs="黑体"/>
          <w:kern w:val="2"/>
          <w:szCs w:val="21"/>
        </w:rPr>
        <w:t>7.2包装</w:t>
      </w:r>
    </w:p>
    <w:p>
      <w:pPr>
        <w:pStyle w:val="20"/>
        <w:rPr>
          <w:rFonts w:hint="eastAsia" w:asciiTheme="minorEastAsia" w:hAnsiTheme="minorEastAsia" w:eastAsiaTheme="minorEastAsia" w:cstheme="minorEastAsia"/>
          <w:kern w:val="0"/>
          <w:szCs w:val="22"/>
          <w:lang w:val="en-US" w:eastAsia="zh-CN"/>
        </w:rPr>
      </w:pPr>
      <w:r>
        <w:rPr>
          <w:rFonts w:hint="eastAsia" w:asciiTheme="minorEastAsia" w:hAnsiTheme="minorEastAsia" w:eastAsiaTheme="minorEastAsia" w:cstheme="minorEastAsia"/>
          <w:kern w:val="0"/>
          <w:szCs w:val="22"/>
          <w:lang w:val="en-US" w:eastAsia="zh-CN"/>
        </w:rPr>
        <w:t>产品采用适宜包装，根据用户要求包装。</w:t>
      </w:r>
    </w:p>
    <w:p>
      <w:pPr>
        <w:pStyle w:val="21"/>
        <w:spacing w:before="312" w:after="312"/>
        <w:rPr>
          <w:rFonts w:hAnsi="黑体" w:cs="黑体"/>
          <w:kern w:val="2"/>
          <w:szCs w:val="21"/>
        </w:rPr>
      </w:pPr>
      <w:r>
        <w:rPr>
          <w:rFonts w:hint="eastAsia" w:hAnsi="黑体" w:cs="黑体"/>
          <w:kern w:val="2"/>
          <w:szCs w:val="21"/>
        </w:rPr>
        <w:t>7.3运输</w:t>
      </w:r>
    </w:p>
    <w:p>
      <w:pPr>
        <w:pStyle w:val="20"/>
        <w:rPr>
          <w:rFonts w:hint="eastAsia" w:asciiTheme="minorEastAsia" w:hAnsiTheme="minorEastAsia" w:eastAsiaTheme="minorEastAsia" w:cstheme="minorEastAsia"/>
          <w:kern w:val="0"/>
          <w:szCs w:val="22"/>
          <w:lang w:val="en-US" w:eastAsia="zh-CN"/>
        </w:rPr>
      </w:pPr>
      <w:r>
        <w:rPr>
          <w:rFonts w:hint="eastAsia" w:asciiTheme="minorEastAsia" w:hAnsiTheme="minorEastAsia" w:eastAsiaTheme="minorEastAsia" w:cstheme="minorEastAsia"/>
          <w:kern w:val="0"/>
          <w:szCs w:val="22"/>
          <w:lang w:val="en-US" w:eastAsia="zh-CN"/>
        </w:rPr>
        <w:t>本产品属于非危险品，任何运输工具可采用，在运输时应防火、防热、防雨淋、防受潮。</w:t>
      </w:r>
    </w:p>
    <w:p>
      <w:pPr>
        <w:pStyle w:val="21"/>
        <w:spacing w:before="312" w:after="312"/>
        <w:rPr>
          <w:rFonts w:hAnsi="黑体" w:cs="黑体"/>
          <w:kern w:val="2"/>
          <w:szCs w:val="21"/>
        </w:rPr>
      </w:pPr>
      <w:r>
        <w:rPr>
          <w:rFonts w:hint="eastAsia" w:hAnsi="黑体" w:cs="黑体"/>
          <w:kern w:val="2"/>
          <w:szCs w:val="21"/>
        </w:rPr>
        <w:t>7.4贮存</w:t>
      </w:r>
    </w:p>
    <w:p>
      <w:pPr>
        <w:pStyle w:val="20"/>
        <w:rPr>
          <w:rFonts w:hint="eastAsia" w:asciiTheme="minorEastAsia" w:hAnsiTheme="minorEastAsia" w:eastAsiaTheme="minorEastAsia" w:cstheme="minorEastAsia"/>
          <w:kern w:val="0"/>
          <w:szCs w:val="22"/>
          <w:lang w:val="en-US" w:eastAsia="zh-CN"/>
        </w:rPr>
      </w:pPr>
      <w:r>
        <w:rPr>
          <w:rFonts w:hint="eastAsia" w:asciiTheme="minorEastAsia" w:hAnsiTheme="minorEastAsia" w:eastAsiaTheme="minorEastAsia" w:cstheme="minorEastAsia"/>
          <w:kern w:val="0"/>
          <w:szCs w:val="22"/>
          <w:lang w:val="en-US" w:eastAsia="zh-CN"/>
        </w:rPr>
        <w:t>阴凉通风处、干燥密封保存。</w:t>
      </w:r>
    </w:p>
    <w:p>
      <w:pPr>
        <w:pStyle w:val="21"/>
        <w:spacing w:before="312" w:after="312"/>
        <w:rPr>
          <w:rFonts w:hAnsi="黑体" w:cs="黑体"/>
          <w:kern w:val="2"/>
          <w:szCs w:val="21"/>
        </w:rPr>
      </w:pPr>
      <w:r>
        <w:rPr>
          <w:rFonts w:hint="eastAsia" w:hAnsi="黑体" w:cs="黑体"/>
          <w:kern w:val="2"/>
          <w:szCs w:val="21"/>
        </w:rPr>
        <w:t>7.5保质期</w:t>
      </w:r>
    </w:p>
    <w:p>
      <w:pPr>
        <w:pStyle w:val="20"/>
        <w:rPr>
          <w:rFonts w:hint="eastAsia" w:asciiTheme="minorEastAsia" w:hAnsiTheme="minorEastAsia" w:eastAsiaTheme="minorEastAsia" w:cstheme="minorEastAsia"/>
          <w:kern w:val="0"/>
          <w:szCs w:val="22"/>
          <w:lang w:val="en-US" w:eastAsia="zh-CN"/>
        </w:rPr>
        <w:sectPr>
          <w:pgSz w:w="11906" w:h="16838"/>
          <w:pgMar w:top="1440" w:right="1800" w:bottom="1440" w:left="1800" w:header="851" w:footer="992" w:gutter="0"/>
          <w:cols w:space="425" w:num="1"/>
          <w:docGrid w:type="lines" w:linePitch="312" w:charSpace="0"/>
        </w:sectPr>
      </w:pPr>
      <w:r>
        <w:rPr>
          <w:rFonts w:hint="eastAsia" w:asciiTheme="minorEastAsia" w:hAnsiTheme="minorEastAsia" w:eastAsiaTheme="minorEastAsia" w:cstheme="minorEastAsia"/>
          <w:kern w:val="0"/>
          <w:szCs w:val="22"/>
          <w:lang w:val="en-US" w:eastAsia="zh-CN"/>
        </w:rPr>
        <w:t>在符合规定的运输和贮存条件下，产品在包装完整和未启封的情况下，保质期按销售包装标注执行。</w:t>
      </w:r>
    </w:p>
    <w:p>
      <w:pPr>
        <w:jc w:val="center"/>
        <w:rPr>
          <w:rFonts w:ascii="Times New Roman" w:hAnsi="Times New Roman" w:eastAsia="黑体"/>
        </w:rPr>
      </w:pPr>
      <w:r>
        <w:rPr>
          <w:rFonts w:ascii="Times New Roman" w:hAnsi="Times New Roman" w:eastAsia="黑体"/>
        </w:rPr>
        <w:t>附 录 A</w:t>
      </w:r>
    </w:p>
    <w:p>
      <w:pPr>
        <w:jc w:val="center"/>
        <w:rPr>
          <w:rFonts w:ascii="Times New Roman" w:hAnsi="Times New Roman" w:eastAsia="黑体"/>
        </w:rPr>
      </w:pPr>
      <w:r>
        <w:rPr>
          <w:rFonts w:ascii="Times New Roman" w:hAnsi="Times New Roman" w:eastAsia="黑体"/>
        </w:rPr>
        <w:t>（资料性附录）</w:t>
      </w:r>
    </w:p>
    <w:p>
      <w:pPr>
        <w:jc w:val="center"/>
        <w:rPr>
          <w:rFonts w:ascii="Times New Roman" w:hAnsi="Times New Roman" w:eastAsia="黑体"/>
        </w:rPr>
      </w:pPr>
      <w:r>
        <w:rPr>
          <w:rFonts w:ascii="Times New Roman" w:hAnsi="Times New Roman" w:eastAsia="黑体"/>
        </w:rPr>
        <w:t>标准物质的液相色谱图</w:t>
      </w:r>
    </w:p>
    <w:p>
      <w:pPr>
        <w:jc w:val="center"/>
        <w:rPr>
          <w:rFonts w:ascii="Times New Roman" w:hAnsi="Times New Roman"/>
        </w:rPr>
      </w:pPr>
      <w:r>
        <w:rPr>
          <w:rFonts w:ascii="Times New Roman" w:hAnsi="Times New Roman"/>
        </w:rPr>
        <mc:AlternateContent>
          <mc:Choice Requires="wps">
            <w:drawing>
              <wp:anchor distT="0" distB="0" distL="114300" distR="114300" simplePos="0" relativeHeight="251671552" behindDoc="0" locked="0" layoutInCell="1" allowOverlap="1">
                <wp:simplePos x="0" y="0"/>
                <wp:positionH relativeFrom="column">
                  <wp:posOffset>1954530</wp:posOffset>
                </wp:positionH>
                <wp:positionV relativeFrom="paragraph">
                  <wp:posOffset>1056640</wp:posOffset>
                </wp:positionV>
                <wp:extent cx="771525" cy="273685"/>
                <wp:effectExtent l="0" t="0" r="5715" b="635"/>
                <wp:wrapNone/>
                <wp:docPr id="17" name="文本框 2"/>
                <wp:cNvGraphicFramePr/>
                <a:graphic xmlns:a="http://schemas.openxmlformats.org/drawingml/2006/main">
                  <a:graphicData uri="http://schemas.microsoft.com/office/word/2010/wordprocessingShape">
                    <wps:wsp>
                      <wps:cNvSpPr txBox="1">
                        <a:spLocks noChangeArrowheads="1"/>
                      </wps:cNvSpPr>
                      <wps:spPr bwMode="auto">
                        <a:xfrm>
                          <a:off x="0" y="0"/>
                          <a:ext cx="771525" cy="273685"/>
                        </a:xfrm>
                        <a:prstGeom prst="rect">
                          <a:avLst/>
                        </a:prstGeom>
                        <a:solidFill>
                          <a:srgbClr val="FFFFFF"/>
                        </a:solidFill>
                        <a:ln>
                          <a:noFill/>
                        </a:ln>
                      </wps:spPr>
                      <wps:txbx>
                        <w:txbxContent>
                          <w:p>
                            <w:pPr>
                              <w:rPr>
                                <w:sz w:val="15"/>
                                <w:szCs w:val="15"/>
                              </w:rPr>
                            </w:pPr>
                            <w:r>
                              <w:rPr>
                                <w:sz w:val="15"/>
                                <w:szCs w:val="15"/>
                              </w:rPr>
                              <w:t>羟基积雪草苷</w:t>
                            </w:r>
                          </w:p>
                        </w:txbxContent>
                      </wps:txbx>
                      <wps:bodyPr rot="0" vert="horz" wrap="square" lIns="91440" tIns="45720" rIns="91440" bIns="45720" anchor="t" anchorCtr="0" upright="1">
                        <a:noAutofit/>
                      </wps:bodyPr>
                    </wps:wsp>
                  </a:graphicData>
                </a:graphic>
              </wp:anchor>
            </w:drawing>
          </mc:Choice>
          <mc:Fallback>
            <w:pict>
              <v:shape id="文本框 2" o:spid="_x0000_s1026" o:spt="202" type="#_x0000_t202" style="position:absolute;left:0pt;margin-left:153.9pt;margin-top:83.2pt;height:21.55pt;width:60.75pt;z-index:251671552;mso-width-relative:page;mso-height-relative:page;" fillcolor="#FFFFFF" filled="t" stroked="f" coordsize="21600,21600" o:gfxdata="UEsDBAoAAAAAAIdO4kAAAAAAAAAAAAAAAAAEAAAAZHJzL1BLAwQUAAAACACHTuJAtYR/ttkAAAAL&#10;AQAADwAAAGRycy9kb3ducmV2LnhtbE2PzW6DMBCE75X6DtZW6qVq7BAChWAitVKrXvPzAAtsAAXb&#10;CDsheftuT+1xNKOZb4rtzQziSpPvndWwXCgQZGvX9LbVcDx8vr6B8AFtg4OzpOFOHrbl40OBeeNm&#10;u6PrPrSCS6zPUUMXwphL6euODPqFG8myd3KTwcByamUz4czlZpCRUok02Fte6HCkj47q8/5iNJy+&#10;55d1Nldf4Zju4uQd+7Ryd62fn5ZqAyLQLfyF4Ref0aFkpspdbOPFoGGlUkYPbCRJDIITcZStQFQa&#10;IpWtQZaF/P+h/AFQSwMEFAAAAAgAh07iQHreVW4QAgAA8AMAAA4AAABkcnMvZTJvRG9jLnhtbK1T&#10;zY7TMBC+I/EOlu80bWi3S9R0tXRVhLT8SAsP4DhOYpF4zNhtsjwAvAEnLtx5rj4HY6dbCtwQPlge&#10;z/ib+b4Zr66GrmV7hU6DyflsMuVMGQmlNnXO37/bPrnkzHlhStGCUTm/V45frR8/WvU2Uyk00JYK&#10;GYEYl/U25433NksSJxvVCTcBqww5K8BOeDKxTkoUPaF3bZJOpxdJD1haBKmco9ub0cnXEb+qlPRv&#10;qsopz9qcU20+7hj3IuzJeiWyGoVttDyWIf6hik5oQ0lPUDfCC7ZD/RdUpyWCg8pPJHQJVJWWKnIg&#10;NrPpH2zuGmFV5ELiOHuSyf0/WPl6/xaZLql3S86M6KhHh69fDt9+HL5/ZmnQp7cuo7A7S4F+eA4D&#10;xUauzt6C/OCYgU0jTK2uEaFvlCipvll4mZw9HXFcACn6V1BSHrHzEIGGCrsgHsnBCJ36dH/qjRo8&#10;k3S5XM4W6YIzSa50+fTichEziOzhsUXnXyjoWDjkHKn1EVzsb50PxYjsISTkctDqcqvbNhpYF5sW&#10;2V7QmGzjOqL/FtaaEGwgPBsRw01kGYiNFP1QDEfVCijviS/COHb0TejQAH7irKeRy7n7uBOoOGtf&#10;GtLs2Ww+DzMajflimZKB557i3COMJKice87G48aPc72zqOuGMo1dMnBNOlc6ahAaMlZ1rJvGKkpz&#10;/AJhbs/tGPXro65/Al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WEf7bZAAAACwEAAA8AAAAAAAAA&#10;AQAgAAAAIgAAAGRycy9kb3ducmV2LnhtbFBLAQIUABQAAAAIAIdO4kB63lVuEAIAAPADAAAOAAAA&#10;AAAAAAEAIAAAACgBAABkcnMvZTJvRG9jLnhtbFBLBQYAAAAABgAGAFkBAACqBQAAAAA=&#10;">
                <v:fill on="t" focussize="0,0"/>
                <v:stroke on="f"/>
                <v:imagedata o:title=""/>
                <o:lock v:ext="edit" aspectratio="f"/>
                <v:textbox>
                  <w:txbxContent>
                    <w:p>
                      <w:pPr>
                        <w:rPr>
                          <w:sz w:val="15"/>
                          <w:szCs w:val="15"/>
                        </w:rPr>
                      </w:pPr>
                      <w:r>
                        <w:rPr>
                          <w:sz w:val="15"/>
                          <w:szCs w:val="15"/>
                        </w:rPr>
                        <w:t>羟基积雪草苷</w:t>
                      </w:r>
                    </w:p>
                  </w:txbxContent>
                </v:textbox>
              </v:shape>
            </w:pict>
          </mc:Fallback>
        </mc:AlternateContent>
      </w:r>
      <w:r>
        <w:rPr>
          <w:rFonts w:ascii="Times New Roman" w:hAnsi="Times New Roman"/>
        </w:rPr>
        <mc:AlternateContent>
          <mc:Choice Requires="wps">
            <w:drawing>
              <wp:anchor distT="0" distB="0" distL="114300" distR="114300" simplePos="0" relativeHeight="251674624" behindDoc="0" locked="0" layoutInCell="1" allowOverlap="1">
                <wp:simplePos x="0" y="0"/>
                <wp:positionH relativeFrom="column">
                  <wp:posOffset>3273425</wp:posOffset>
                </wp:positionH>
                <wp:positionV relativeFrom="paragraph">
                  <wp:posOffset>1321435</wp:posOffset>
                </wp:positionV>
                <wp:extent cx="771525" cy="273685"/>
                <wp:effectExtent l="0" t="0" r="5715" b="635"/>
                <wp:wrapNone/>
                <wp:docPr id="18" name="Text Box 17"/>
                <wp:cNvGraphicFramePr/>
                <a:graphic xmlns:a="http://schemas.openxmlformats.org/drawingml/2006/main">
                  <a:graphicData uri="http://schemas.microsoft.com/office/word/2010/wordprocessingShape">
                    <wps:wsp>
                      <wps:cNvSpPr txBox="1">
                        <a:spLocks noChangeArrowheads="1"/>
                      </wps:cNvSpPr>
                      <wps:spPr bwMode="auto">
                        <a:xfrm>
                          <a:off x="0" y="0"/>
                          <a:ext cx="771525" cy="273685"/>
                        </a:xfrm>
                        <a:prstGeom prst="rect">
                          <a:avLst/>
                        </a:prstGeom>
                        <a:solidFill>
                          <a:srgbClr val="FFFFFF"/>
                        </a:solidFill>
                        <a:ln>
                          <a:noFill/>
                        </a:ln>
                      </wps:spPr>
                      <wps:txbx>
                        <w:txbxContent>
                          <w:p>
                            <w:pPr>
                              <w:rPr>
                                <w:sz w:val="15"/>
                                <w:szCs w:val="15"/>
                              </w:rPr>
                            </w:pPr>
                            <w:r>
                              <w:rPr>
                                <w:sz w:val="15"/>
                                <w:szCs w:val="15"/>
                              </w:rPr>
                              <w:t>积雪草苷</w:t>
                            </w:r>
                          </w:p>
                        </w:txbxContent>
                      </wps:txbx>
                      <wps:bodyPr rot="0" vert="horz" wrap="square" lIns="91440" tIns="45720" rIns="91440" bIns="45720" anchor="t" anchorCtr="0" upright="1">
                        <a:noAutofit/>
                      </wps:bodyPr>
                    </wps:wsp>
                  </a:graphicData>
                </a:graphic>
              </wp:anchor>
            </w:drawing>
          </mc:Choice>
          <mc:Fallback>
            <w:pict>
              <v:shape id="Text Box 17" o:spid="_x0000_s1026" o:spt="202" type="#_x0000_t202" style="position:absolute;left:0pt;margin-left:257.75pt;margin-top:104.05pt;height:21.55pt;width:60.75pt;z-index:251674624;mso-width-relative:page;mso-height-relative:page;" fillcolor="#FFFFFF" filled="t" stroked="f" coordsize="21600,21600" o:gfxdata="UEsDBAoAAAAAAIdO4kAAAAAAAAAAAAAAAAAEAAAAZHJzL1BLAwQUAAAACACHTuJAYn3dDdgAAAAL&#10;AQAADwAAAGRycy9kb3ducmV2LnhtbE2Py07DMBBF90j8gzVIbBC1HXBSQpxKIIHY9vEBTjxNImI7&#10;it2m/XuGFSxn5ujOudXm4kZ2xjkOwWuQKwEMfRvs4DsNh/3H4xpYTMZbMwaPGq4YYVPf3lSmtGHx&#10;WzzvUscoxMfSaOhTmkrOY9ujM3EVJvR0O4bZmUTj3HE7m4XC3cgzIXLuzODpQ28mfO+x/d6dnIbj&#10;1/KgXpbmMx2K7XP+ZoaiCVet7++keAWW8JL+YPjVJ3WoyakJJ28jGzUoqRShGjKxlsCIyJ8KatfQ&#10;RskMeF3x/x3qH1BLAwQUAAAACACHTuJA/1SCFAACAADwAwAADgAAAGRycy9lMm9Eb2MueG1srVNR&#10;b9MwEH5H4j9YfqdpSruOqOk0OhUhjYG08QMcx0ksHJ85u03Gr+fsdKXAG8IPls93/u6+786bm7E3&#10;7KjQa7Alz2dzzpSVUGvblvzr0/7NNWc+CFsLA1aV/Fl5frN9/WozuEItoANTK2QEYn0xuJJ3Ibgi&#10;y7zsVC/8DJyy5GwAexHIxDarUQyE3ptsMZ9fZQNg7RCk8p5u7yYn3yb8plEyfG4arwIzJafaQtox&#10;7VXcs+1GFC0K12l5KkP8QxW90JaSnqHuRBDsgPovqF5LBA9NmEnoM2gaLVXiQGzy+R9sHjvhVOJC&#10;4nh3lsn/P1j5cPyCTNfUO+qUFT316EmNgb2HkeXrqM/gfEFhj44Cw0j3FJu4encP8ptnFnadsK26&#10;RYShU6Km+vL4Mrt4OuH4CFINn6CmPOIQIAGNDfZRPJKDETr16fncm1iLpMv1Ol8tVpxJci3Wb6+u&#10;VymDKF4eO/Thg4KexUPJkVqfwMXx3odYjCheQmIuD0bXe21MMrCtdgbZUdCY7NM6of8WZmwMthCf&#10;TYjxJrGMxCaKYazGk2oV1M/EF2EaO/omdOgAf3A20MiV3H8/CFScmY+WNHuXL5dxRpOxXK0XZOCl&#10;p7r0CCsJquSBs+m4C9NcHxzqtqNMU5cs3JLOjU4axIZMVZ3qprFK0py+QJzbSztF/fqo25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Bifd0N2AAAAAsBAAAPAAAAAAAAAAEAIAAAACIAAABkcnMvZG93&#10;bnJldi54bWxQSwECFAAUAAAACACHTuJA/1SCFAACAADwAwAADgAAAAAAAAABACAAAAAnAQAAZHJz&#10;L2Uyb0RvYy54bWxQSwUGAAAAAAYABgBZAQAAmQUAAAAA&#10;">
                <v:fill on="t" focussize="0,0"/>
                <v:stroke on="f"/>
                <v:imagedata o:title=""/>
                <o:lock v:ext="edit" aspectratio="f"/>
                <v:textbox>
                  <w:txbxContent>
                    <w:p>
                      <w:pPr>
                        <w:rPr>
                          <w:sz w:val="15"/>
                          <w:szCs w:val="15"/>
                        </w:rPr>
                      </w:pPr>
                      <w:r>
                        <w:rPr>
                          <w:sz w:val="15"/>
                          <w:szCs w:val="15"/>
                        </w:rPr>
                        <w:t>积雪草苷</w:t>
                      </w:r>
                    </w:p>
                  </w:txbxContent>
                </v:textbox>
              </v:shape>
            </w:pict>
          </mc:Fallback>
        </mc:AlternateContent>
      </w:r>
      <w:r>
        <w:rPr>
          <w:rFonts w:ascii="Times New Roman" w:hAnsi="Times New Roman"/>
        </w:rPr>
        <w:drawing>
          <wp:inline distT="0" distB="0" distL="0" distR="0">
            <wp:extent cx="5001260" cy="2425065"/>
            <wp:effectExtent l="0" t="0" r="12700" b="13335"/>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5001260" cy="2425065"/>
                    </a:xfrm>
                    <a:prstGeom prst="rect">
                      <a:avLst/>
                    </a:prstGeom>
                    <a:noFill/>
                    <a:ln>
                      <a:noFill/>
                    </a:ln>
                  </pic:spPr>
                </pic:pic>
              </a:graphicData>
            </a:graphic>
          </wp:inline>
        </w:drawing>
      </w:r>
    </w:p>
    <w:p>
      <w:pPr>
        <w:pStyle w:val="20"/>
        <w:framePr w:w="3105" w:hSpace="181" w:vSpace="181" w:wrap="around" w:vAnchor="text" w:hAnchor="page" w:x="4373" w:y="1460"/>
        <w:jc w:val="center"/>
        <w:rPr>
          <w:rFonts w:ascii="Times New Roman" w:hAnsi="Times New Roman"/>
        </w:rPr>
      </w:pPr>
    </w:p>
    <w:p>
      <w:pPr>
        <w:framePr w:w="3105" w:hSpace="181" w:vSpace="181" w:wrap="around" w:vAnchor="text" w:hAnchor="page" w:x="4373" w:y="1460"/>
        <w:jc w:val="center"/>
        <w:rPr>
          <w:rFonts w:ascii="Times New Roman" w:hAnsi="Times New Roman"/>
          <w:kern w:val="0"/>
          <w:szCs w:val="20"/>
        </w:rPr>
      </w:pPr>
      <w:r>
        <w:rPr>
          <w:rFonts w:ascii="Times New Roman" w:hAnsi="Times New Roman"/>
        </w:rPr>
        <w:t>________________________</w:t>
      </w:r>
    </w:p>
    <w:p>
      <w:pPr>
        <w:jc w:val="center"/>
        <w:rPr>
          <w:rFonts w:ascii="Times New Roman" w:hAnsi="Times New Roman" w:eastAsia="黑体"/>
        </w:rPr>
      </w:pPr>
      <w:r>
        <w:rPr>
          <w:rFonts w:ascii="Times New Roman" w:hAnsi="Times New Roman" w:eastAsia="黑体"/>
        </w:rPr>
        <w:t xml:space="preserve">图A.1 </w:t>
      </w:r>
      <w:r>
        <w:rPr>
          <w:rFonts w:hint="eastAsia" w:ascii="Times New Roman" w:hAnsi="Times New Roman" w:eastAsia="黑体"/>
        </w:rPr>
        <w:t>红景天苷</w:t>
      </w:r>
      <w:r>
        <w:rPr>
          <w:rFonts w:ascii="Times New Roman" w:hAnsi="Times New Roman" w:eastAsia="黑体"/>
        </w:rPr>
        <w:t>的标准物质液相色谱图</w:t>
      </w:r>
    </w:p>
    <w:p>
      <w:pPr>
        <w:pStyle w:val="20"/>
      </w:pPr>
    </w:p>
    <w:p>
      <w:pPr>
        <w:pStyle w:val="22"/>
        <w:framePr w:hSpace="0" w:vSpace="0" w:wrap="auto" w:vAnchor="margin" w:hAnchor="text" w:xAlign="left" w:yAlign="inline"/>
      </w:pPr>
      <w:r>
        <w:rPr>
          <w:rFonts w:hint="eastAsia" w:hAnsi="黑体" w:cs="黑体"/>
          <w:szCs w:val="21"/>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both"/>
    </w:pPr>
    <w: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0</wp:posOffset>
              </wp:positionV>
              <wp:extent cx="5911215" cy="147955"/>
              <wp:effectExtent l="0" t="0" r="13335" b="0"/>
              <wp:wrapNone/>
              <wp:docPr id="12" name="文本框 12"/>
              <wp:cNvGraphicFramePr/>
              <a:graphic xmlns:a="http://schemas.openxmlformats.org/drawingml/2006/main">
                <a:graphicData uri="http://schemas.microsoft.com/office/word/2010/wordprocessingShape">
                  <wps:wsp>
                    <wps:cNvSpPr txBox="1"/>
                    <wps:spPr>
                      <a:xfrm>
                        <a:off x="0" y="0"/>
                        <a:ext cx="5911215" cy="147955"/>
                      </a:xfrm>
                      <a:prstGeom prst="rect">
                        <a:avLst/>
                      </a:prstGeom>
                      <a:noFill/>
                      <a:ln w="9525">
                        <a:noFill/>
                      </a:ln>
                      <a:effectLst/>
                    </wps:spPr>
                    <wps:txbx>
                      <w:txbxContent>
                        <w:p>
                          <w:pPr>
                            <w:pStyle w:val="5"/>
                            <w:rPr>
                              <w:rFonts w:ascii="仿宋" w:hAnsi="仿宋" w:eastAsia="仿宋" w:cs="仿宋"/>
                            </w:rPr>
                          </w:pPr>
                          <w:r>
                            <w:rPr>
                              <w:rFonts w:hint="eastAsia" w:ascii="仿宋" w:hAnsi="仿宋" w:eastAsia="仿宋" w:cs="仿宋"/>
                            </w:rPr>
                            <w:t>Ⅰ</w:t>
                          </w:r>
                        </w:p>
                      </w:txbxContent>
                    </wps:txbx>
                    <wps:bodyPr wrap="square" lIns="0" tIns="0" rIns="0" bIns="0">
                      <a:spAutoFit/>
                    </wps:bodyPr>
                  </wps:wsp>
                </a:graphicData>
              </a:graphic>
            </wp:anchor>
          </w:drawing>
        </mc:Choice>
        <mc:Fallback>
          <w:pict>
            <v:shape id="_x0000_s1026" o:spid="_x0000_s1026" o:spt="202" type="#_x0000_t202" style="position:absolute;left:0pt;margin-top:0pt;height:11.65pt;width:465.45pt;mso-position-horizontal:left;mso-position-horizontal-relative:margin;z-index:251659264;mso-width-relative:page;mso-height-relative:page;" filled="f" stroked="f" coordsize="21600,21600" o:gfxdata="UEsDBAoAAAAAAIdO4kAAAAAAAAAAAAAAAAAEAAAAZHJzL1BLAwQUAAAACACHTuJApo6n+NMAAAAE&#10;AQAADwAAAGRycy9kb3ducmV2LnhtbE2PMU/DMBCFdyT+g3VIXRC1nUgVSeN0qMrSjcLC5sZHEtU+&#10;R7GbhP56DAssJz29p/e+q3aLs2zCMfSeFMi1AIbUeNNTq+D97eXpGViImoy2nlDBFwbY1fd3lS6N&#10;n+kVp1NsWSqhUGoFXYxDyXloOnQ6rP2AlLxPPzodkxxbbkY9p3JneSbEhjvdU1ro9ID7DpvL6eoU&#10;bJbD8HgsMJtvjZ3o4yZlRKnU6kGKLbCIS/wLww9+Qoc6MZ39lUxgVkF6JP7e5BW5KICdFWR5Dryu&#10;+H/4+htQSwMEFAAAAAgAh07iQOPXn8S+AQAAWQMAAA4AAABkcnMvZTJvRG9jLnhtbK1TS27bMBDd&#10;F+gdCO5rWUKV1oLloEWQIEDQFEh7AJoiLQL8lUNb8gXaG2SVTfY9l8/RIS07RbsruhkNZ4aP896M&#10;lpej0WQnAihnW1rO5pQIy12n7KalX79cv3lPCURmO6adFS3dC6CXq9evloNvROV6pzsRCIJYaAbf&#10;0j5G3xQF8F4YBjPnhcWkdMGwiMewKbrABkQ3uqjm84ticKHzwXEBgNGrY5KuMr6Ugsd7KUFEoluK&#10;vcVsQ7brZIvVkjWbwHyv+NQG+4cuDFMWHz1DXbHIyDaov6CM4sGBk3HGnSmclIqLzAHZlPM/2Dz0&#10;zIvMBcUBf5YJ/h8s/7T7HIjqcHYVJZYZnNHh8cfh6efh+TvBGAo0eGiw7sFjZRw/uhGLT3HAYOI9&#10;ymDSFxkRzKPU+7O8YoyEY7BelGVV1pRwzJVv3y3qOsEUL7d9gHgjnCHJaWnA8WVV2e4O4rH0VJIe&#10;s+5aaZ1HqC0ZWrqoqzpfOGcQXNtUK/IyTDCJ0bHz5MVxPU40167bI8sBF6Kl8G3LgqBE31pUPG3P&#10;yQknZz056QXwH7YRO8qNJtwjGBJMB5xfpjrtWlqQ38+56uWPWP0C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po6n+NMAAAAEAQAADwAAAAAAAAABACAAAAAiAAAAZHJzL2Rvd25yZXYueG1sUEsBAhQA&#10;FAAAAAgAh07iQOPXn8S+AQAAWQMAAA4AAAAAAAAAAQAgAAAAIgEAAGRycy9lMm9Eb2MueG1sUEsF&#10;BgAAAAAGAAYAWQEAAFIFAAAAAA==&#10;">
              <v:fill on="f" focussize="0,0"/>
              <v:stroke on="f"/>
              <v:imagedata o:title=""/>
              <o:lock v:ext="edit" aspectratio="f"/>
              <v:textbox inset="0mm,0mm,0mm,0mm" style="mso-fit-shape-to-text:t;">
                <w:txbxContent>
                  <w:p>
                    <w:pPr>
                      <w:pStyle w:val="5"/>
                      <w:rPr>
                        <w:rFonts w:ascii="仿宋" w:hAnsi="仿宋" w:eastAsia="仿宋" w:cs="仿宋"/>
                      </w:rPr>
                    </w:pPr>
                    <w:r>
                      <w:rPr>
                        <w:rFonts w:hint="eastAsia" w:ascii="仿宋" w:hAnsi="仿宋" w:eastAsia="仿宋" w:cs="仿宋"/>
                      </w:rPr>
                      <w:t>Ⅰ</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rPr>
        <w:rFonts w:hint="eastAsia" w:ascii="Times New Roman"/>
      </w:rPr>
      <w:t>T</w:t>
    </w:r>
    <w:r>
      <w:rPr>
        <w:rFonts w:ascii="Times New Roman"/>
      </w:rPr>
      <w:t>/</w:t>
    </w:r>
    <w:r>
      <w:rPr>
        <w:rFonts w:hint="eastAsia" w:hAnsi="黑体"/>
      </w:rPr>
      <w:t>CAFFCI</w:t>
    </w:r>
    <w:r>
      <w:t xml:space="preserve"> XXXX—XXXX</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6FF"/>
    <w:rsid w:val="00001F5F"/>
    <w:rsid w:val="000038B7"/>
    <w:rsid w:val="0004735F"/>
    <w:rsid w:val="00067C47"/>
    <w:rsid w:val="00084469"/>
    <w:rsid w:val="000A5885"/>
    <w:rsid w:val="00116773"/>
    <w:rsid w:val="00150438"/>
    <w:rsid w:val="001629E7"/>
    <w:rsid w:val="00166723"/>
    <w:rsid w:val="00187305"/>
    <w:rsid w:val="001931BF"/>
    <w:rsid w:val="001A6C18"/>
    <w:rsid w:val="001B4FD3"/>
    <w:rsid w:val="001C681A"/>
    <w:rsid w:val="001C698A"/>
    <w:rsid w:val="001E2F0C"/>
    <w:rsid w:val="0020308B"/>
    <w:rsid w:val="00244629"/>
    <w:rsid w:val="002639E8"/>
    <w:rsid w:val="002953E5"/>
    <w:rsid w:val="00307154"/>
    <w:rsid w:val="00360D63"/>
    <w:rsid w:val="0038415E"/>
    <w:rsid w:val="0039301C"/>
    <w:rsid w:val="00395B29"/>
    <w:rsid w:val="003B3C6E"/>
    <w:rsid w:val="003D36BF"/>
    <w:rsid w:val="003F7065"/>
    <w:rsid w:val="00400BBE"/>
    <w:rsid w:val="00414C94"/>
    <w:rsid w:val="00445F27"/>
    <w:rsid w:val="0045381F"/>
    <w:rsid w:val="0050716E"/>
    <w:rsid w:val="00522134"/>
    <w:rsid w:val="005363B3"/>
    <w:rsid w:val="00545E38"/>
    <w:rsid w:val="00551F9F"/>
    <w:rsid w:val="00554551"/>
    <w:rsid w:val="00577A26"/>
    <w:rsid w:val="005C5E9E"/>
    <w:rsid w:val="005F7F1C"/>
    <w:rsid w:val="006219D0"/>
    <w:rsid w:val="00644F07"/>
    <w:rsid w:val="00652F95"/>
    <w:rsid w:val="006A66F6"/>
    <w:rsid w:val="006D30F3"/>
    <w:rsid w:val="007001F5"/>
    <w:rsid w:val="0074162B"/>
    <w:rsid w:val="0077687E"/>
    <w:rsid w:val="007B5151"/>
    <w:rsid w:val="007F7B3F"/>
    <w:rsid w:val="008115CB"/>
    <w:rsid w:val="00821A48"/>
    <w:rsid w:val="008342C6"/>
    <w:rsid w:val="00835429"/>
    <w:rsid w:val="00842F25"/>
    <w:rsid w:val="00854A64"/>
    <w:rsid w:val="008575C9"/>
    <w:rsid w:val="008735F2"/>
    <w:rsid w:val="008C50FE"/>
    <w:rsid w:val="008C5BED"/>
    <w:rsid w:val="008F00E8"/>
    <w:rsid w:val="008F08E1"/>
    <w:rsid w:val="00935044"/>
    <w:rsid w:val="009471C3"/>
    <w:rsid w:val="00950E3F"/>
    <w:rsid w:val="00974866"/>
    <w:rsid w:val="0097753C"/>
    <w:rsid w:val="00995945"/>
    <w:rsid w:val="009C19A0"/>
    <w:rsid w:val="009E353B"/>
    <w:rsid w:val="00A027AC"/>
    <w:rsid w:val="00A13EA5"/>
    <w:rsid w:val="00A45B22"/>
    <w:rsid w:val="00A919E6"/>
    <w:rsid w:val="00AA06FF"/>
    <w:rsid w:val="00AA300A"/>
    <w:rsid w:val="00AA5D78"/>
    <w:rsid w:val="00AF413A"/>
    <w:rsid w:val="00B14C72"/>
    <w:rsid w:val="00B629E8"/>
    <w:rsid w:val="00B642F6"/>
    <w:rsid w:val="00B66EDB"/>
    <w:rsid w:val="00B71454"/>
    <w:rsid w:val="00B84B9D"/>
    <w:rsid w:val="00B87F87"/>
    <w:rsid w:val="00BD662B"/>
    <w:rsid w:val="00C05E9B"/>
    <w:rsid w:val="00C379EB"/>
    <w:rsid w:val="00C61B3A"/>
    <w:rsid w:val="00C74607"/>
    <w:rsid w:val="00CA0DEF"/>
    <w:rsid w:val="00CA3580"/>
    <w:rsid w:val="00CA612D"/>
    <w:rsid w:val="00CC4818"/>
    <w:rsid w:val="00CD62E8"/>
    <w:rsid w:val="00D27085"/>
    <w:rsid w:val="00D60FCB"/>
    <w:rsid w:val="00D7144B"/>
    <w:rsid w:val="00D87385"/>
    <w:rsid w:val="00DB3D2B"/>
    <w:rsid w:val="00DB5A74"/>
    <w:rsid w:val="00E27E65"/>
    <w:rsid w:val="00E3296A"/>
    <w:rsid w:val="00E44780"/>
    <w:rsid w:val="00E55770"/>
    <w:rsid w:val="00E702A6"/>
    <w:rsid w:val="00EA3779"/>
    <w:rsid w:val="00F0127E"/>
    <w:rsid w:val="00F245DB"/>
    <w:rsid w:val="00F26CDE"/>
    <w:rsid w:val="00F27B28"/>
    <w:rsid w:val="00F52634"/>
    <w:rsid w:val="00F64108"/>
    <w:rsid w:val="00F74F63"/>
    <w:rsid w:val="00F950E0"/>
    <w:rsid w:val="00FA2A02"/>
    <w:rsid w:val="0A3C4644"/>
    <w:rsid w:val="23175C72"/>
    <w:rsid w:val="3752328E"/>
    <w:rsid w:val="3F976C22"/>
    <w:rsid w:val="448F165A"/>
    <w:rsid w:val="51AB306B"/>
    <w:rsid w:val="63890B4B"/>
    <w:rsid w:val="64DA404A"/>
    <w:rsid w:val="70BE7D5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subject"/>
    <w:basedOn w:val="3"/>
    <w:next w:val="3"/>
    <w:link w:val="16"/>
    <w:semiHidden/>
    <w:unhideWhenUsed/>
    <w:qFormat/>
    <w:uiPriority w:val="99"/>
    <w:rPr>
      <w:b/>
      <w:bCs/>
    </w:rPr>
  </w:style>
  <w:style w:type="paragraph" w:styleId="3">
    <w:name w:val="annotation text"/>
    <w:basedOn w:val="1"/>
    <w:link w:val="15"/>
    <w:semiHidden/>
    <w:unhideWhenUsed/>
    <w:qFormat/>
    <w:uiPriority w:val="99"/>
    <w:pPr>
      <w:jc w:val="left"/>
    </w:pPr>
  </w:style>
  <w:style w:type="paragraph" w:styleId="4">
    <w:name w:val="Balloon Text"/>
    <w:basedOn w:val="1"/>
    <w:link w:val="14"/>
    <w:semiHidden/>
    <w:unhideWhenUsed/>
    <w:qFormat/>
    <w:uiPriority w:val="99"/>
    <w:rPr>
      <w:sz w:val="18"/>
      <w:szCs w:val="18"/>
    </w:rPr>
  </w:style>
  <w:style w:type="paragraph" w:styleId="5">
    <w:name w:val="footer"/>
    <w:basedOn w:val="1"/>
    <w:link w:val="12"/>
    <w:unhideWhenUsed/>
    <w:qFormat/>
    <w:uiPriority w:val="99"/>
    <w:pPr>
      <w:tabs>
        <w:tab w:val="center" w:pos="4153"/>
        <w:tab w:val="right" w:pos="8306"/>
      </w:tabs>
      <w:snapToGrid w:val="0"/>
      <w:jc w:val="left"/>
    </w:pPr>
    <w:rPr>
      <w:sz w:val="18"/>
      <w:szCs w:val="18"/>
    </w:rPr>
  </w:style>
  <w:style w:type="paragraph" w:styleId="6">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annotation reference"/>
    <w:basedOn w:val="7"/>
    <w:semiHidden/>
    <w:unhideWhenUsed/>
    <w:qFormat/>
    <w:uiPriority w:val="99"/>
    <w:rPr>
      <w:sz w:val="21"/>
      <w:szCs w:val="21"/>
    </w:rPr>
  </w:style>
  <w:style w:type="table" w:styleId="10">
    <w:name w:val="Table Grid"/>
    <w:basedOn w:val="9"/>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1">
    <w:name w:val="页眉 Char"/>
    <w:basedOn w:val="7"/>
    <w:link w:val="6"/>
    <w:qFormat/>
    <w:uiPriority w:val="99"/>
    <w:rPr>
      <w:sz w:val="18"/>
      <w:szCs w:val="18"/>
    </w:rPr>
  </w:style>
  <w:style w:type="character" w:customStyle="1" w:styleId="12">
    <w:name w:val="页脚 Char"/>
    <w:basedOn w:val="7"/>
    <w:link w:val="5"/>
    <w:qFormat/>
    <w:uiPriority w:val="99"/>
    <w:rPr>
      <w:sz w:val="18"/>
      <w:szCs w:val="18"/>
    </w:rPr>
  </w:style>
  <w:style w:type="paragraph" w:styleId="13">
    <w:name w:val="List Paragraph"/>
    <w:basedOn w:val="1"/>
    <w:qFormat/>
    <w:uiPriority w:val="34"/>
    <w:pPr>
      <w:ind w:firstLine="420" w:firstLineChars="200"/>
    </w:pPr>
  </w:style>
  <w:style w:type="character" w:customStyle="1" w:styleId="14">
    <w:name w:val="批注框文本 Char"/>
    <w:basedOn w:val="7"/>
    <w:link w:val="4"/>
    <w:semiHidden/>
    <w:qFormat/>
    <w:uiPriority w:val="99"/>
    <w:rPr>
      <w:sz w:val="18"/>
      <w:szCs w:val="18"/>
    </w:rPr>
  </w:style>
  <w:style w:type="character" w:customStyle="1" w:styleId="15">
    <w:name w:val="批注文字 Char"/>
    <w:basedOn w:val="7"/>
    <w:link w:val="3"/>
    <w:semiHidden/>
    <w:qFormat/>
    <w:uiPriority w:val="99"/>
  </w:style>
  <w:style w:type="character" w:customStyle="1" w:styleId="16">
    <w:name w:val="批注主题 Char"/>
    <w:basedOn w:val="15"/>
    <w:link w:val="2"/>
    <w:semiHidden/>
    <w:qFormat/>
    <w:uiPriority w:val="99"/>
    <w:rPr>
      <w:b/>
      <w:bCs/>
    </w:rPr>
  </w:style>
  <w:style w:type="paragraph" w:customStyle="1" w:styleId="17">
    <w:name w:val="文献分类号"/>
    <w:qFormat/>
    <w:uiPriority w:val="0"/>
    <w:pPr>
      <w:framePr w:hSpace="180" w:vSpace="180" w:wrap="around" w:vAnchor="margin" w:hAnchor="margin" w:y="1" w:anchorLock="1"/>
      <w:widowControl w:val="0"/>
      <w:textAlignment w:val="center"/>
    </w:pPr>
    <w:rPr>
      <w:rFonts w:ascii="黑体" w:hAnsi="Calibri" w:eastAsia="黑体" w:cs="Times New Roman"/>
      <w:kern w:val="0"/>
      <w:sz w:val="21"/>
      <w:szCs w:val="21"/>
      <w:lang w:val="en-US" w:eastAsia="zh-CN" w:bidi="ar-SA"/>
    </w:rPr>
  </w:style>
  <w:style w:type="paragraph" w:customStyle="1" w:styleId="18">
    <w:name w:val="标准书眉_奇数页"/>
    <w:next w:val="1"/>
    <w:qFormat/>
    <w:uiPriority w:val="0"/>
    <w:pPr>
      <w:tabs>
        <w:tab w:val="center" w:pos="4154"/>
        <w:tab w:val="right" w:pos="8306"/>
      </w:tabs>
      <w:spacing w:after="220"/>
      <w:jc w:val="right"/>
    </w:pPr>
    <w:rPr>
      <w:rFonts w:ascii="黑体" w:hAnsi="Calibri" w:eastAsia="黑体" w:cs="Times New Roman"/>
      <w:kern w:val="0"/>
      <w:sz w:val="21"/>
      <w:szCs w:val="21"/>
      <w:lang w:val="en-US" w:eastAsia="zh-CN" w:bidi="ar-SA"/>
    </w:rPr>
  </w:style>
  <w:style w:type="paragraph" w:customStyle="1" w:styleId="19">
    <w:name w:val="标准书脚_奇数页"/>
    <w:qFormat/>
    <w:uiPriority w:val="0"/>
    <w:pPr>
      <w:spacing w:before="120"/>
      <w:ind w:right="198"/>
      <w:jc w:val="right"/>
    </w:pPr>
    <w:rPr>
      <w:rFonts w:ascii="宋体" w:hAnsi="Calibri" w:eastAsia="宋体" w:cs="Times New Roman"/>
      <w:kern w:val="0"/>
      <w:sz w:val="18"/>
      <w:szCs w:val="18"/>
      <w:lang w:val="en-US" w:eastAsia="zh-CN" w:bidi="ar-SA"/>
    </w:rPr>
  </w:style>
  <w:style w:type="paragraph" w:customStyle="1" w:styleId="20">
    <w:name w:val="段"/>
    <w:qFormat/>
    <w:uiPriority w:val="0"/>
    <w:pPr>
      <w:tabs>
        <w:tab w:val="center" w:pos="4201"/>
        <w:tab w:val="right" w:leader="dot" w:pos="9298"/>
      </w:tabs>
      <w:autoSpaceDE w:val="0"/>
      <w:autoSpaceDN w:val="0"/>
      <w:ind w:firstLine="420" w:firstLineChars="200"/>
      <w:jc w:val="both"/>
    </w:pPr>
    <w:rPr>
      <w:rFonts w:ascii="宋体" w:hAnsi="Calibri" w:eastAsia="宋体" w:cs="Times New Roman"/>
      <w:kern w:val="0"/>
      <w:sz w:val="21"/>
      <w:szCs w:val="20"/>
      <w:lang w:val="en-US" w:eastAsia="zh-CN" w:bidi="ar-SA"/>
    </w:rPr>
  </w:style>
  <w:style w:type="paragraph" w:customStyle="1" w:styleId="21">
    <w:name w:val="章标题"/>
    <w:next w:val="20"/>
    <w:qFormat/>
    <w:uiPriority w:val="0"/>
    <w:pPr>
      <w:spacing w:beforeLines="100" w:afterLines="100"/>
      <w:jc w:val="both"/>
      <w:outlineLvl w:val="1"/>
    </w:pPr>
    <w:rPr>
      <w:rFonts w:ascii="黑体" w:hAnsi="Calibri" w:eastAsia="黑体" w:cs="Times New Roman"/>
      <w:kern w:val="0"/>
      <w:sz w:val="21"/>
      <w:szCs w:val="20"/>
      <w:lang w:val="en-US" w:eastAsia="zh-CN" w:bidi="ar-SA"/>
    </w:rPr>
  </w:style>
  <w:style w:type="paragraph" w:customStyle="1" w:styleId="22">
    <w:name w:val="终结线"/>
    <w:basedOn w:val="1"/>
    <w:qFormat/>
    <w:uiPriority w:val="0"/>
    <w:pPr>
      <w:framePr w:hSpace="181" w:vSpace="181" w:wrap="around" w:vAnchor="text" w:hAnchor="margin" w:xAlign="center" w:y="285"/>
    </w:pPr>
    <w:rPr>
      <w:rFonts w:ascii="Calibri" w:hAnsi="Calibri" w:eastAsia="宋体" w:cs="Times New Roman"/>
      <w:szCs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3.emf"/><Relationship Id="rId7" Type="http://schemas.openxmlformats.org/officeDocument/2006/relationships/image" Target="media/image2.png"/><Relationship Id="rId6" Type="http://schemas.openxmlformats.org/officeDocument/2006/relationships/image" Target="media/image1.GIF"/><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488</Words>
  <Characters>2783</Characters>
  <Lines>23</Lines>
  <Paragraphs>6</Paragraphs>
  <TotalTime>40</TotalTime>
  <ScaleCrop>false</ScaleCrop>
  <LinksUpToDate>false</LinksUpToDate>
  <CharactersWithSpaces>3265</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2018-11-15T02:15:00Z</dcterms:created>
  <dc:creator>技术中心-汤晓琳</dc:creator>
  <cp:lastModifiedBy>caffci-zhangpeng</cp:lastModifiedBy>
  <dcterms:modified xsi:type="dcterms:W3CDTF">2018-12-24T03:32:50Z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